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78B4" w14:textId="77777777" w:rsidR="00E92433" w:rsidRDefault="00E92433" w:rsidP="001F5498">
      <w:pPr>
        <w:pStyle w:val="Title"/>
        <w:jc w:val="center"/>
        <w:rPr>
          <w:rFonts w:ascii="Arial" w:hAnsi="Arial" w:cs="Arial"/>
          <w:b/>
          <w:bCs/>
          <w:color w:val="0070C0"/>
          <w:sz w:val="48"/>
          <w:szCs w:val="48"/>
          <w:lang w:val="en-GB"/>
        </w:rPr>
      </w:pPr>
    </w:p>
    <w:p w14:paraId="47A94AE5" w14:textId="77777777" w:rsidR="00E92433" w:rsidRDefault="00E92433" w:rsidP="001F5498">
      <w:pPr>
        <w:pStyle w:val="Title"/>
        <w:jc w:val="center"/>
        <w:rPr>
          <w:rFonts w:ascii="Arial" w:hAnsi="Arial" w:cs="Arial"/>
          <w:b/>
          <w:bCs/>
          <w:color w:val="0070C0"/>
          <w:sz w:val="48"/>
          <w:szCs w:val="48"/>
          <w:lang w:val="en-GB"/>
        </w:rPr>
      </w:pPr>
    </w:p>
    <w:p w14:paraId="2907688C" w14:textId="0FFA5ACA" w:rsidR="00C039D0" w:rsidRDefault="00427FF2" w:rsidP="001F5498">
      <w:pPr>
        <w:pStyle w:val="Title"/>
        <w:jc w:val="center"/>
        <w:rPr>
          <w:rFonts w:ascii="Arial" w:hAnsi="Arial" w:cs="Arial"/>
          <w:b/>
          <w:bCs/>
          <w:color w:val="0070C0"/>
          <w:sz w:val="48"/>
          <w:szCs w:val="48"/>
          <w:lang w:val="en-GB"/>
        </w:rPr>
      </w:pPr>
      <w:r w:rsidRPr="00532236">
        <w:rPr>
          <w:rFonts w:ascii="Arial" w:hAnsi="Arial" w:cs="Arial"/>
          <w:b/>
          <w:bCs/>
          <w:color w:val="0070C0"/>
          <w:sz w:val="48"/>
          <w:szCs w:val="48"/>
          <w:lang w:val="en-GB"/>
        </w:rPr>
        <w:t>Transition in Education Guidance</w:t>
      </w:r>
      <w:r w:rsidR="00213BC3" w:rsidRPr="00532236">
        <w:rPr>
          <w:rFonts w:ascii="Arial" w:hAnsi="Arial" w:cs="Arial"/>
          <w:b/>
          <w:bCs/>
          <w:color w:val="0070C0"/>
          <w:sz w:val="48"/>
          <w:szCs w:val="48"/>
          <w:lang w:val="en-GB"/>
        </w:rPr>
        <w:t xml:space="preserve"> 20</w:t>
      </w:r>
      <w:r w:rsidR="008F0216">
        <w:rPr>
          <w:rFonts w:ascii="Arial" w:hAnsi="Arial" w:cs="Arial"/>
          <w:b/>
          <w:bCs/>
          <w:color w:val="0070C0"/>
          <w:sz w:val="48"/>
          <w:szCs w:val="48"/>
          <w:lang w:val="en-GB"/>
        </w:rPr>
        <w:t>25</w:t>
      </w:r>
      <w:r w:rsidR="004955D5">
        <w:rPr>
          <w:rFonts w:ascii="Arial" w:hAnsi="Arial" w:cs="Arial"/>
          <w:b/>
          <w:bCs/>
          <w:color w:val="0070C0"/>
          <w:sz w:val="48"/>
          <w:szCs w:val="48"/>
          <w:lang w:val="en-GB"/>
        </w:rPr>
        <w:t>-202</w:t>
      </w:r>
      <w:r w:rsidR="008F0216">
        <w:rPr>
          <w:rFonts w:ascii="Arial" w:hAnsi="Arial" w:cs="Arial"/>
          <w:b/>
          <w:bCs/>
          <w:color w:val="0070C0"/>
          <w:sz w:val="48"/>
          <w:szCs w:val="48"/>
          <w:lang w:val="en-GB"/>
        </w:rPr>
        <w:t>6</w:t>
      </w:r>
      <w:r w:rsidR="00201B07">
        <w:rPr>
          <w:rStyle w:val="FootnoteReference"/>
          <w:rFonts w:ascii="Arial" w:hAnsi="Arial" w:cs="Arial"/>
          <w:b/>
          <w:bCs/>
          <w:color w:val="0070C0"/>
          <w:sz w:val="48"/>
          <w:szCs w:val="48"/>
          <w:lang w:val="en-GB"/>
        </w:rPr>
        <w:footnoteReference w:id="2"/>
      </w:r>
    </w:p>
    <w:p w14:paraId="3DCD7606" w14:textId="5D3B57DF" w:rsidR="00A8610C" w:rsidRPr="001F5498" w:rsidRDefault="00C72C35" w:rsidP="00A8610C">
      <w:pPr>
        <w:pStyle w:val="Heading1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S</w:t>
      </w:r>
      <w:r w:rsidR="006F751B">
        <w:rPr>
          <w:rFonts w:ascii="Arial" w:hAnsi="Arial" w:cs="Arial"/>
          <w:color w:val="0070C0"/>
        </w:rPr>
        <w:t>afeguard</w:t>
      </w:r>
      <w:r>
        <w:rPr>
          <w:rFonts w:ascii="Arial" w:hAnsi="Arial" w:cs="Arial"/>
          <w:color w:val="0070C0"/>
        </w:rPr>
        <w:t>ing</w:t>
      </w:r>
      <w:r w:rsidR="006F751B">
        <w:rPr>
          <w:rFonts w:ascii="Arial" w:hAnsi="Arial" w:cs="Arial"/>
          <w:color w:val="0070C0"/>
        </w:rPr>
        <w:t xml:space="preserve"> </w:t>
      </w:r>
      <w:r w:rsidR="00F50BB1">
        <w:rPr>
          <w:rFonts w:ascii="Arial" w:hAnsi="Arial" w:cs="Arial"/>
          <w:color w:val="0070C0"/>
        </w:rPr>
        <w:t>and promot</w:t>
      </w:r>
      <w:r>
        <w:rPr>
          <w:rFonts w:ascii="Arial" w:hAnsi="Arial" w:cs="Arial"/>
          <w:color w:val="0070C0"/>
        </w:rPr>
        <w:t>ing</w:t>
      </w:r>
      <w:r w:rsidR="00F50BB1">
        <w:rPr>
          <w:rFonts w:ascii="Arial" w:hAnsi="Arial" w:cs="Arial"/>
          <w:color w:val="0070C0"/>
        </w:rPr>
        <w:t xml:space="preserve"> the education of </w:t>
      </w:r>
      <w:r w:rsidR="001C231E">
        <w:rPr>
          <w:rFonts w:ascii="Arial" w:hAnsi="Arial" w:cs="Arial"/>
          <w:color w:val="0070C0"/>
        </w:rPr>
        <w:t>children</w:t>
      </w:r>
      <w:r w:rsidR="0082747A">
        <w:rPr>
          <w:rFonts w:ascii="Arial" w:hAnsi="Arial" w:cs="Arial"/>
          <w:color w:val="0070C0"/>
        </w:rPr>
        <w:t xml:space="preserve"> (aged 0-18)</w:t>
      </w:r>
      <w:r w:rsidR="00AF5D07" w:rsidRPr="001F5498">
        <w:rPr>
          <w:rFonts w:ascii="Arial" w:hAnsi="Arial" w:cs="Arial"/>
          <w:color w:val="0070C0"/>
        </w:rPr>
        <w:t xml:space="preserve"> </w:t>
      </w:r>
      <w:r w:rsidR="009F7817" w:rsidRPr="001F5498">
        <w:rPr>
          <w:rFonts w:ascii="Arial" w:hAnsi="Arial" w:cs="Arial"/>
          <w:color w:val="0070C0"/>
        </w:rPr>
        <w:t xml:space="preserve">at standard and non-standard </w:t>
      </w:r>
      <w:r>
        <w:rPr>
          <w:rFonts w:ascii="Arial" w:hAnsi="Arial" w:cs="Arial"/>
          <w:color w:val="0070C0"/>
        </w:rPr>
        <w:t xml:space="preserve">transition </w:t>
      </w:r>
      <w:r w:rsidR="00E83BA9">
        <w:rPr>
          <w:rFonts w:ascii="Arial" w:hAnsi="Arial" w:cs="Arial"/>
          <w:color w:val="0070C0"/>
        </w:rPr>
        <w:t>points</w:t>
      </w:r>
      <w:r w:rsidR="001F5498" w:rsidRPr="001F5498">
        <w:rPr>
          <w:rFonts w:ascii="Arial" w:hAnsi="Arial" w:cs="Arial"/>
          <w:color w:val="0070C0"/>
        </w:rPr>
        <w:t xml:space="preserve"> in </w:t>
      </w:r>
      <w:r w:rsidR="00F50BB1">
        <w:rPr>
          <w:rFonts w:ascii="Arial" w:hAnsi="Arial" w:cs="Arial"/>
          <w:color w:val="0070C0"/>
        </w:rPr>
        <w:t>their</w:t>
      </w:r>
      <w:r w:rsidR="001F5498" w:rsidRPr="001F5498">
        <w:rPr>
          <w:rFonts w:ascii="Arial" w:hAnsi="Arial" w:cs="Arial"/>
          <w:color w:val="0070C0"/>
        </w:rPr>
        <w:t xml:space="preserve"> educational journey</w:t>
      </w:r>
      <w:r w:rsidR="0039279D" w:rsidRPr="001F5498">
        <w:rPr>
          <w:rFonts w:ascii="Arial" w:hAnsi="Arial" w:cs="Arial"/>
          <w:color w:val="0070C0"/>
        </w:rPr>
        <w:t>.</w:t>
      </w:r>
      <w:r w:rsidR="009F7817" w:rsidRPr="001F5498">
        <w:rPr>
          <w:rFonts w:ascii="Arial" w:hAnsi="Arial" w:cs="Arial"/>
          <w:color w:val="0070C0"/>
        </w:rPr>
        <w:t xml:space="preserve"> </w:t>
      </w:r>
    </w:p>
    <w:p w14:paraId="495D6852" w14:textId="77777777" w:rsidR="009C5A1D" w:rsidRPr="005E259C" w:rsidRDefault="0097009F" w:rsidP="0097009F">
      <w:pPr>
        <w:pStyle w:val="Heading1"/>
        <w:rPr>
          <w:rFonts w:ascii="Arial" w:eastAsia="Arial" w:hAnsi="Arial" w:cs="Arial"/>
          <w:color w:val="0070C0"/>
        </w:rPr>
      </w:pPr>
      <w:r w:rsidRPr="005E259C">
        <w:rPr>
          <w:rFonts w:ascii="Arial" w:eastAsia="Arial" w:hAnsi="Arial" w:cs="Arial"/>
          <w:color w:val="0070C0"/>
        </w:rPr>
        <w:t xml:space="preserve">Contents </w:t>
      </w:r>
    </w:p>
    <w:p w14:paraId="6A736D50" w14:textId="5D094D3F" w:rsidR="0097009F" w:rsidRDefault="0097009F" w:rsidP="009C5A1D">
      <w:pPr>
        <w:rPr>
          <w:rFonts w:ascii="Arial" w:hAnsi="Arial" w:cs="Arial"/>
          <w:color w:val="0070C0"/>
        </w:rPr>
      </w:pPr>
      <w:r w:rsidRPr="009C5A1D">
        <w:rPr>
          <w:rFonts w:ascii="Arial" w:eastAsia="Arial" w:hAnsi="Arial" w:cs="Arial"/>
          <w:color w:val="0070C0"/>
        </w:rPr>
        <w:t>(</w:t>
      </w:r>
      <w:r w:rsidRPr="009C5A1D">
        <w:rPr>
          <w:rFonts w:ascii="Arial" w:hAnsi="Arial" w:cs="Arial"/>
          <w:color w:val="0070C0"/>
        </w:rPr>
        <w:t xml:space="preserve">Ctrl and </w:t>
      </w:r>
      <w:r w:rsidR="009C5A1D" w:rsidRPr="009C5A1D">
        <w:rPr>
          <w:rFonts w:ascii="Arial" w:hAnsi="Arial" w:cs="Arial"/>
          <w:color w:val="0070C0"/>
        </w:rPr>
        <w:t>click</w:t>
      </w:r>
      <w:r w:rsidRPr="009C5A1D">
        <w:rPr>
          <w:rFonts w:ascii="Arial" w:hAnsi="Arial" w:cs="Arial"/>
          <w:color w:val="0070C0"/>
        </w:rPr>
        <w:t xml:space="preserve"> on link to access or Ctrl F to see all headings and </w:t>
      </w:r>
      <w:r w:rsidR="00D264D4" w:rsidRPr="009C5A1D">
        <w:rPr>
          <w:rFonts w:ascii="Arial" w:hAnsi="Arial" w:cs="Arial"/>
          <w:color w:val="0070C0"/>
        </w:rPr>
        <w:t>subheading</w:t>
      </w:r>
      <w:r w:rsidRPr="009C5A1D">
        <w:rPr>
          <w:rFonts w:ascii="Arial" w:hAnsi="Arial" w:cs="Arial"/>
          <w:color w:val="0070C0"/>
        </w:rPr>
        <w:t>)</w:t>
      </w:r>
    </w:p>
    <w:p w14:paraId="507526CC" w14:textId="77777777" w:rsidR="0098470D" w:rsidRPr="009C5A1D" w:rsidRDefault="0098470D" w:rsidP="009C5A1D">
      <w:pPr>
        <w:rPr>
          <w:rFonts w:ascii="Arial" w:hAnsi="Arial" w:cs="Arial"/>
          <w:color w:val="0070C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32236" w14:paraId="07264C03" w14:textId="77777777" w:rsidTr="0015407A">
        <w:tc>
          <w:tcPr>
            <w:tcW w:w="9351" w:type="dxa"/>
          </w:tcPr>
          <w:p w14:paraId="5683537A" w14:textId="09EBFD2E" w:rsidR="00532236" w:rsidRPr="00D91F59" w:rsidRDefault="00EC72D8" w:rsidP="0015407A">
            <w:pPr>
              <w:rPr>
                <w:rFonts w:ascii="Arial" w:eastAsia="Arial" w:hAnsi="Arial" w:cs="Arial"/>
              </w:rPr>
            </w:pPr>
            <w:hyperlink w:anchor="_Introduction_and_scope" w:history="1">
              <w:r w:rsidRPr="00EC72D8">
                <w:rPr>
                  <w:rStyle w:val="Hyperlink"/>
                  <w:rFonts w:ascii="Arial" w:eastAsia="Arial" w:hAnsi="Arial" w:cs="Arial"/>
                </w:rPr>
                <w:t>Introduction and scope</w:t>
              </w:r>
            </w:hyperlink>
          </w:p>
        </w:tc>
      </w:tr>
      <w:tr w:rsidR="00521E87" w14:paraId="0C73044B" w14:textId="77777777" w:rsidTr="0015407A">
        <w:tc>
          <w:tcPr>
            <w:tcW w:w="9351" w:type="dxa"/>
          </w:tcPr>
          <w:p w14:paraId="6CAC0F61" w14:textId="77777777" w:rsidR="007E1F10" w:rsidRDefault="008A4118" w:rsidP="008A4118">
            <w:pPr>
              <w:rPr>
                <w:rFonts w:ascii="Arial" w:eastAsia="Arial" w:hAnsi="Arial" w:cs="Arial"/>
              </w:rPr>
            </w:pPr>
            <w:hyperlink w:anchor="_Safeguarding_children_during" w:history="1">
              <w:r w:rsidRPr="008A4118">
                <w:rPr>
                  <w:rStyle w:val="Hyperlink"/>
                  <w:rFonts w:ascii="Arial" w:eastAsia="Arial" w:hAnsi="Arial" w:cs="Arial"/>
                </w:rPr>
                <w:t>Safeguarding children during educational transition</w:t>
              </w:r>
            </w:hyperlink>
          </w:p>
          <w:p w14:paraId="52A6C29D" w14:textId="77777777" w:rsidR="008A4118" w:rsidRDefault="008A4118" w:rsidP="008A4118">
            <w:pPr>
              <w:ind w:left="720"/>
              <w:rPr>
                <w:rFonts w:ascii="Arial" w:eastAsia="Arial" w:hAnsi="Arial" w:cs="Arial"/>
              </w:rPr>
            </w:pPr>
            <w:hyperlink w:anchor="_Child_Protection_Files" w:history="1">
              <w:r w:rsidRPr="008A4118">
                <w:rPr>
                  <w:rStyle w:val="Hyperlink"/>
                  <w:rFonts w:ascii="Arial" w:eastAsia="Arial" w:hAnsi="Arial" w:cs="Arial"/>
                </w:rPr>
                <w:t>Child Protection Files</w:t>
              </w:r>
            </w:hyperlink>
          </w:p>
          <w:p w14:paraId="03D7E4D9" w14:textId="13B8EBFE" w:rsidR="00186E09" w:rsidRPr="008A4118" w:rsidRDefault="00186E09" w:rsidP="008A4118">
            <w:pPr>
              <w:ind w:left="720"/>
              <w:rPr>
                <w:rFonts w:ascii="Arial" w:eastAsia="Arial" w:hAnsi="Arial" w:cs="Arial"/>
              </w:rPr>
            </w:pPr>
            <w:hyperlink w:anchor="_Other_transition_arrangements" w:history="1">
              <w:r w:rsidRPr="00186E09">
                <w:rPr>
                  <w:rStyle w:val="Hyperlink"/>
                  <w:rFonts w:ascii="Arial" w:eastAsia="Arial" w:hAnsi="Arial" w:cs="Arial"/>
                </w:rPr>
                <w:t>Other transition arrangements at standard transition points</w:t>
              </w:r>
            </w:hyperlink>
          </w:p>
        </w:tc>
      </w:tr>
      <w:tr w:rsidR="00532236" w14:paraId="6B858057" w14:textId="77777777" w:rsidTr="0015407A">
        <w:tc>
          <w:tcPr>
            <w:tcW w:w="9351" w:type="dxa"/>
          </w:tcPr>
          <w:p w14:paraId="5F7F0C67" w14:textId="77777777" w:rsidR="00532236" w:rsidRDefault="005E259C" w:rsidP="0015407A">
            <w:pPr>
              <w:rPr>
                <w:rFonts w:ascii="Arial" w:eastAsia="Arial" w:hAnsi="Arial" w:cs="Arial"/>
              </w:rPr>
            </w:pPr>
            <w:hyperlink w:anchor="_Enhanced_Transition_1" w:history="1">
              <w:r w:rsidRPr="005E259C">
                <w:rPr>
                  <w:rStyle w:val="Hyperlink"/>
                  <w:rFonts w:ascii="Arial" w:eastAsia="Arial" w:hAnsi="Arial" w:cs="Arial"/>
                </w:rPr>
                <w:t>Enhanced Transition</w:t>
              </w:r>
            </w:hyperlink>
          </w:p>
          <w:p w14:paraId="3F55B341" w14:textId="77777777" w:rsidR="005E259C" w:rsidRDefault="005E259C" w:rsidP="005E259C">
            <w:pPr>
              <w:ind w:left="720"/>
              <w:rPr>
                <w:rFonts w:ascii="Arial" w:eastAsia="Arial" w:hAnsi="Arial" w:cs="Arial"/>
              </w:rPr>
            </w:pPr>
            <w:hyperlink w:anchor="_Children_with_educational" w:history="1">
              <w:r w:rsidRPr="005E259C">
                <w:rPr>
                  <w:rStyle w:val="Hyperlink"/>
                  <w:rFonts w:ascii="Arial" w:eastAsia="Arial" w:hAnsi="Arial" w:cs="Arial"/>
                </w:rPr>
                <w:t>Children with educational vulnerabilities</w:t>
              </w:r>
            </w:hyperlink>
          </w:p>
          <w:p w14:paraId="45E6F9E0" w14:textId="77777777" w:rsidR="005E259C" w:rsidRDefault="005E259C" w:rsidP="005E259C">
            <w:pPr>
              <w:ind w:left="720"/>
              <w:rPr>
                <w:rFonts w:ascii="Arial" w:eastAsia="Arial" w:hAnsi="Arial" w:cs="Arial"/>
              </w:rPr>
            </w:pPr>
            <w:hyperlink w:anchor="_Advance_Information_Sharing" w:history="1">
              <w:r w:rsidRPr="005E259C">
                <w:rPr>
                  <w:rStyle w:val="Hyperlink"/>
                  <w:rFonts w:ascii="Arial" w:eastAsia="Arial" w:hAnsi="Arial" w:cs="Arial"/>
                </w:rPr>
                <w:t>Advance Information Sharing</w:t>
              </w:r>
            </w:hyperlink>
          </w:p>
          <w:p w14:paraId="1933991C" w14:textId="614D4231" w:rsidR="005E259C" w:rsidRPr="00D91F59" w:rsidRDefault="005E259C" w:rsidP="005E259C">
            <w:pPr>
              <w:ind w:left="720"/>
              <w:rPr>
                <w:rFonts w:ascii="Arial" w:eastAsia="Arial" w:hAnsi="Arial" w:cs="Arial"/>
              </w:rPr>
            </w:pPr>
            <w:hyperlink w:anchor="_Other_enhanced_transition" w:history="1">
              <w:r w:rsidRPr="005E259C">
                <w:rPr>
                  <w:rStyle w:val="Hyperlink"/>
                  <w:rFonts w:ascii="Arial" w:eastAsia="Arial" w:hAnsi="Arial" w:cs="Arial"/>
                </w:rPr>
                <w:t>Other enhanced transition arrangements</w:t>
              </w:r>
            </w:hyperlink>
          </w:p>
        </w:tc>
      </w:tr>
      <w:tr w:rsidR="00532236" w14:paraId="28B5DDEB" w14:textId="77777777" w:rsidTr="0015407A">
        <w:tc>
          <w:tcPr>
            <w:tcW w:w="9351" w:type="dxa"/>
          </w:tcPr>
          <w:p w14:paraId="1119E012" w14:textId="7DDA1E9C" w:rsidR="00532236" w:rsidRPr="00D91F59" w:rsidRDefault="005E259C" w:rsidP="0015407A">
            <w:pPr>
              <w:rPr>
                <w:rFonts w:ascii="Arial" w:eastAsia="Arial" w:hAnsi="Arial" w:cs="Arial"/>
              </w:rPr>
            </w:pPr>
            <w:hyperlink w:anchor="_Appendix_1:_" w:history="1">
              <w:r w:rsidRPr="005E259C">
                <w:rPr>
                  <w:rStyle w:val="Hyperlink"/>
                  <w:rFonts w:ascii="Arial" w:eastAsia="Arial" w:hAnsi="Arial" w:cs="Arial"/>
                </w:rPr>
                <w:t>Appendix 1</w:t>
              </w:r>
              <w:r w:rsidR="001C221D" w:rsidRPr="005E259C">
                <w:rPr>
                  <w:rStyle w:val="Hyperlink"/>
                  <w:rFonts w:ascii="Arial" w:eastAsia="Arial" w:hAnsi="Arial" w:cs="Arial"/>
                </w:rPr>
                <w:t>: Second</w:t>
              </w:r>
              <w:r w:rsidR="001C221D" w:rsidRPr="005E259C">
                <w:rPr>
                  <w:rStyle w:val="Hyperlink"/>
                  <w:rFonts w:ascii="Arial" w:eastAsia="Arial" w:hAnsi="Arial" w:cs="Arial"/>
                </w:rPr>
                <w:t>a</w:t>
              </w:r>
              <w:r w:rsidR="001C221D" w:rsidRPr="005E259C">
                <w:rPr>
                  <w:rStyle w:val="Hyperlink"/>
                  <w:rFonts w:ascii="Arial" w:eastAsia="Arial" w:hAnsi="Arial" w:cs="Arial"/>
                </w:rPr>
                <w:t>ry</w:t>
              </w:r>
              <w:r w:rsidRPr="005E259C">
                <w:rPr>
                  <w:rStyle w:val="Hyperlink"/>
                  <w:rFonts w:ascii="Arial" w:eastAsia="Arial" w:hAnsi="Arial" w:cs="Arial"/>
                </w:rPr>
                <w:t xml:space="preserve"> to Post 16 Transition Process</w:t>
              </w:r>
            </w:hyperlink>
          </w:p>
        </w:tc>
      </w:tr>
      <w:tr w:rsidR="00532236" w14:paraId="3A77ED23" w14:textId="77777777" w:rsidTr="0015407A">
        <w:tc>
          <w:tcPr>
            <w:tcW w:w="9351" w:type="dxa"/>
          </w:tcPr>
          <w:p w14:paraId="640F4FDE" w14:textId="727DBFF0" w:rsidR="00532236" w:rsidRPr="00D91F59" w:rsidRDefault="005E259C" w:rsidP="0015407A">
            <w:pPr>
              <w:rPr>
                <w:rFonts w:ascii="Arial" w:eastAsia="Arial" w:hAnsi="Arial" w:cs="Arial"/>
              </w:rPr>
            </w:pPr>
            <w:hyperlink w:anchor="_Appendix_2:_" w:history="1">
              <w:r w:rsidRPr="005E259C">
                <w:rPr>
                  <w:rStyle w:val="Hyperlink"/>
                  <w:rFonts w:ascii="Arial" w:eastAsia="Arial" w:hAnsi="Arial" w:cs="Arial"/>
                </w:rPr>
                <w:t>Appendix 2:  High Level Concerns Form (Individual Children)</w:t>
              </w:r>
            </w:hyperlink>
          </w:p>
        </w:tc>
      </w:tr>
      <w:tr w:rsidR="00532236" w14:paraId="6452F2AC" w14:textId="77777777" w:rsidTr="00023C2B">
        <w:trPr>
          <w:trHeight w:val="353"/>
        </w:trPr>
        <w:tc>
          <w:tcPr>
            <w:tcW w:w="9351" w:type="dxa"/>
          </w:tcPr>
          <w:p w14:paraId="25D12A5D" w14:textId="175A9925" w:rsidR="00532236" w:rsidRPr="00D91F59" w:rsidRDefault="005E259C" w:rsidP="0015407A">
            <w:pPr>
              <w:rPr>
                <w:rFonts w:ascii="Arial" w:eastAsia="Arial" w:hAnsi="Arial" w:cs="Arial"/>
              </w:rPr>
            </w:pPr>
            <w:hyperlink w:anchor="_Appendix_3:_" w:history="1">
              <w:r w:rsidRPr="005E259C">
                <w:rPr>
                  <w:rStyle w:val="Hyperlink"/>
                  <w:rFonts w:ascii="Arial" w:eastAsia="Arial" w:hAnsi="Arial" w:cs="Arial"/>
                </w:rPr>
                <w:t>Appendix 3</w:t>
              </w:r>
              <w:r w:rsidR="001C221D" w:rsidRPr="005E259C">
                <w:rPr>
                  <w:rStyle w:val="Hyperlink"/>
                  <w:rFonts w:ascii="Arial" w:eastAsia="Arial" w:hAnsi="Arial" w:cs="Arial"/>
                </w:rPr>
                <w:t>: Transition</w:t>
              </w:r>
              <w:r w:rsidRPr="005E259C">
                <w:rPr>
                  <w:rStyle w:val="Hyperlink"/>
                  <w:rFonts w:ascii="Arial" w:eastAsia="Arial" w:hAnsi="Arial" w:cs="Arial"/>
                </w:rPr>
                <w:t xml:space="preserve"> Support Table (Multiple Children )</w:t>
              </w:r>
            </w:hyperlink>
          </w:p>
        </w:tc>
      </w:tr>
    </w:tbl>
    <w:p w14:paraId="198E1927" w14:textId="6DBC1A30" w:rsidR="00563320" w:rsidRPr="006661D5" w:rsidRDefault="0098470D" w:rsidP="0098470D">
      <w:pPr>
        <w:pStyle w:val="Heading1"/>
        <w:rPr>
          <w:rFonts w:ascii="Arial" w:hAnsi="Arial" w:cs="Arial"/>
        </w:rPr>
      </w:pPr>
      <w:bookmarkStart w:id="0" w:name="_Introduction_and_scope"/>
      <w:bookmarkEnd w:id="0"/>
      <w:r w:rsidRPr="006661D5">
        <w:rPr>
          <w:rFonts w:ascii="Arial" w:hAnsi="Arial" w:cs="Arial"/>
        </w:rPr>
        <w:t>Introduction and scope</w:t>
      </w:r>
    </w:p>
    <w:p w14:paraId="7E63D8CF" w14:textId="62155DBC" w:rsidR="00A71B70" w:rsidRPr="00C64DB6" w:rsidRDefault="00A71B70" w:rsidP="00A71B7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64DB6">
        <w:rPr>
          <w:rStyle w:val="normaltextrun"/>
          <w:rFonts w:ascii="Arial" w:hAnsi="Arial" w:cs="Arial"/>
        </w:rPr>
        <w:t>Education for children of all ages including early years care is essential</w:t>
      </w:r>
      <w:r w:rsidR="00415A37" w:rsidRPr="00C64DB6">
        <w:rPr>
          <w:rStyle w:val="normaltextrun"/>
          <w:rFonts w:ascii="Arial" w:hAnsi="Arial" w:cs="Arial"/>
        </w:rPr>
        <w:t xml:space="preserve">. </w:t>
      </w:r>
      <w:r w:rsidR="004F7D19">
        <w:rPr>
          <w:rStyle w:val="normaltextrun"/>
          <w:rFonts w:ascii="Arial" w:hAnsi="Arial" w:cs="Arial"/>
        </w:rPr>
        <w:t xml:space="preserve">Enabling </w:t>
      </w:r>
      <w:r w:rsidR="006E6EE1">
        <w:rPr>
          <w:rStyle w:val="normaltextrun"/>
          <w:rFonts w:ascii="Arial" w:hAnsi="Arial" w:cs="Arial"/>
        </w:rPr>
        <w:t>a child</w:t>
      </w:r>
      <w:r w:rsidR="004E5DB7">
        <w:rPr>
          <w:rStyle w:val="normaltextrun"/>
          <w:rFonts w:ascii="Arial" w:hAnsi="Arial" w:cs="Arial"/>
        </w:rPr>
        <w:t xml:space="preserve"> to attend and engage with education in a</w:t>
      </w:r>
      <w:r w:rsidRPr="00C64DB6">
        <w:rPr>
          <w:rStyle w:val="normaltextrun"/>
          <w:rFonts w:ascii="Arial" w:hAnsi="Arial" w:cs="Arial"/>
        </w:rPr>
        <w:t xml:space="preserve"> suitable environment (whether in a</w:t>
      </w:r>
      <w:r w:rsidR="007E18D6">
        <w:rPr>
          <w:rStyle w:val="normaltextrun"/>
          <w:rFonts w:ascii="Arial" w:hAnsi="Arial" w:cs="Arial"/>
        </w:rPr>
        <w:t xml:space="preserve"> formal educational</w:t>
      </w:r>
      <w:r w:rsidRPr="00C64DB6">
        <w:rPr>
          <w:rStyle w:val="normaltextrun"/>
          <w:rFonts w:ascii="Arial" w:hAnsi="Arial" w:cs="Arial"/>
        </w:rPr>
        <w:t xml:space="preserve"> setting or a safe</w:t>
      </w:r>
      <w:r w:rsidR="00FB1893">
        <w:rPr>
          <w:rStyle w:val="normaltextrun"/>
          <w:rFonts w:ascii="Arial" w:hAnsi="Arial" w:cs="Arial"/>
        </w:rPr>
        <w:t xml:space="preserve"> and stimulating</w:t>
      </w:r>
      <w:r w:rsidRPr="00C64DB6">
        <w:rPr>
          <w:rStyle w:val="normaltextrun"/>
          <w:rFonts w:ascii="Arial" w:hAnsi="Arial" w:cs="Arial"/>
        </w:rPr>
        <w:t xml:space="preserve"> home environment) </w:t>
      </w:r>
      <w:r w:rsidR="005E1A99">
        <w:rPr>
          <w:rStyle w:val="normaltextrun"/>
          <w:rFonts w:ascii="Arial" w:hAnsi="Arial" w:cs="Arial"/>
        </w:rPr>
        <w:t>is a critical aspect of safeguarding and promoting their welfare</w:t>
      </w:r>
      <w:r w:rsidR="005E1A99">
        <w:rPr>
          <w:rStyle w:val="FootnoteReference"/>
          <w:rFonts w:ascii="Arial" w:hAnsi="Arial" w:cs="Arial"/>
        </w:rPr>
        <w:footnoteReference w:id="3"/>
      </w:r>
      <w:r w:rsidR="00E51BDF">
        <w:rPr>
          <w:rStyle w:val="normaltextrun"/>
          <w:rFonts w:ascii="Arial" w:hAnsi="Arial" w:cs="Arial"/>
        </w:rPr>
        <w:t>.</w:t>
      </w:r>
    </w:p>
    <w:p w14:paraId="35177C7A" w14:textId="77777777" w:rsidR="00C64DB6" w:rsidRDefault="00C64DB6" w:rsidP="00A71B7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ACA4700" w14:textId="3B674AD6" w:rsidR="000E0902" w:rsidRDefault="00AD164B" w:rsidP="00A71B7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Educational </w:t>
      </w:r>
      <w:r w:rsidR="003262BE" w:rsidRPr="00D576CC">
        <w:rPr>
          <w:rFonts w:ascii="Arial" w:hAnsi="Arial" w:cs="Arial"/>
        </w:rPr>
        <w:t>Transition</w:t>
      </w:r>
      <w:r w:rsidR="00B44B7D">
        <w:rPr>
          <w:rFonts w:ascii="Arial" w:hAnsi="Arial" w:cs="Arial"/>
        </w:rPr>
        <w:t xml:space="preserve"> (</w:t>
      </w:r>
      <w:r w:rsidR="00C14EA9">
        <w:rPr>
          <w:rFonts w:ascii="Arial" w:hAnsi="Arial" w:cs="Arial"/>
        </w:rPr>
        <w:t xml:space="preserve">moving into, within, between and out of </w:t>
      </w:r>
      <w:r>
        <w:rPr>
          <w:rFonts w:ascii="Arial" w:hAnsi="Arial" w:cs="Arial"/>
        </w:rPr>
        <w:t xml:space="preserve">education settings) </w:t>
      </w:r>
      <w:r w:rsidR="003262BE" w:rsidRPr="00D576CC">
        <w:rPr>
          <w:rFonts w:ascii="Arial" w:hAnsi="Arial" w:cs="Arial"/>
        </w:rPr>
        <w:t>is a key part of a</w:t>
      </w:r>
      <w:r w:rsidR="006920A1" w:rsidRPr="00D576CC">
        <w:rPr>
          <w:rFonts w:ascii="Arial" w:hAnsi="Arial" w:cs="Arial"/>
        </w:rPr>
        <w:t xml:space="preserve"> child’s educational journey</w:t>
      </w:r>
      <w:r w:rsidR="003262BE" w:rsidRPr="00D576CC">
        <w:rPr>
          <w:rFonts w:ascii="Arial" w:hAnsi="Arial" w:cs="Arial"/>
        </w:rPr>
        <w:t>.</w:t>
      </w:r>
      <w:r w:rsidR="006E6EE1" w:rsidRPr="00D576CC">
        <w:rPr>
          <w:rFonts w:ascii="Arial" w:hAnsi="Arial" w:cs="Arial"/>
        </w:rPr>
        <w:t xml:space="preserve"> </w:t>
      </w:r>
    </w:p>
    <w:p w14:paraId="5D031807" w14:textId="77777777" w:rsidR="000E0902" w:rsidRDefault="000E0902" w:rsidP="00A71B7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D53D91D" w14:textId="7D85C64A" w:rsidR="00C64DB6" w:rsidRPr="00D576CC" w:rsidRDefault="00FF5823" w:rsidP="00A71B7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Typically,</w:t>
      </w:r>
      <w:r w:rsidR="00BC7DA0">
        <w:rPr>
          <w:rFonts w:ascii="Arial" w:hAnsi="Arial" w:cs="Arial"/>
        </w:rPr>
        <w:t xml:space="preserve"> in Shropshire, m</w:t>
      </w:r>
      <w:r w:rsidR="006E6EE1" w:rsidRPr="00D576CC">
        <w:rPr>
          <w:rFonts w:ascii="Arial" w:hAnsi="Arial" w:cs="Arial"/>
        </w:rPr>
        <w:t>ost children</w:t>
      </w:r>
      <w:r w:rsidR="00171A8F" w:rsidRPr="00D576CC">
        <w:rPr>
          <w:rFonts w:ascii="Arial" w:hAnsi="Arial" w:cs="Arial"/>
        </w:rPr>
        <w:t xml:space="preserve"> who </w:t>
      </w:r>
      <w:r w:rsidR="008E1133" w:rsidRPr="00D576CC">
        <w:rPr>
          <w:rFonts w:ascii="Arial" w:hAnsi="Arial" w:cs="Arial"/>
        </w:rPr>
        <w:t>access formal childcare and education</w:t>
      </w:r>
      <w:r w:rsidR="000F669E">
        <w:rPr>
          <w:rFonts w:ascii="Arial" w:hAnsi="Arial" w:cs="Arial"/>
        </w:rPr>
        <w:t xml:space="preserve"> settings</w:t>
      </w:r>
      <w:r w:rsidR="006E6EE1" w:rsidRPr="00D576CC">
        <w:rPr>
          <w:rFonts w:ascii="Arial" w:hAnsi="Arial" w:cs="Arial"/>
        </w:rPr>
        <w:t xml:space="preserve"> will experience </w:t>
      </w:r>
      <w:r w:rsidR="008C025A" w:rsidRPr="00D576CC">
        <w:rPr>
          <w:rFonts w:ascii="Arial" w:hAnsi="Arial" w:cs="Arial"/>
        </w:rPr>
        <w:t xml:space="preserve">key </w:t>
      </w:r>
      <w:r w:rsidR="006E6EE1" w:rsidRPr="00D576CC">
        <w:rPr>
          <w:rFonts w:ascii="Arial" w:hAnsi="Arial" w:cs="Arial"/>
        </w:rPr>
        <w:t xml:space="preserve">“standard” </w:t>
      </w:r>
      <w:r w:rsidR="00B44B7D">
        <w:rPr>
          <w:rFonts w:ascii="Arial" w:hAnsi="Arial" w:cs="Arial"/>
        </w:rPr>
        <w:t>educational</w:t>
      </w:r>
      <w:r w:rsidR="003D0177">
        <w:rPr>
          <w:rFonts w:ascii="Arial" w:hAnsi="Arial" w:cs="Arial"/>
        </w:rPr>
        <w:t xml:space="preserve"> transition stages</w:t>
      </w:r>
      <w:r w:rsidR="008E1133" w:rsidRPr="00D576CC">
        <w:rPr>
          <w:rFonts w:ascii="Arial" w:hAnsi="Arial" w:cs="Arial"/>
        </w:rPr>
        <w:t>:</w:t>
      </w:r>
    </w:p>
    <w:p w14:paraId="2C1B9D62" w14:textId="77777777" w:rsidR="008E1133" w:rsidRPr="00D576CC" w:rsidRDefault="008E1133" w:rsidP="00A71B7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C763EE3" w14:textId="337E5EC7" w:rsidR="00CD30A9" w:rsidRDefault="00CD30A9" w:rsidP="00A71B7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76CC">
        <w:rPr>
          <w:rFonts w:ascii="Arial" w:hAnsi="Arial" w:cs="Arial"/>
        </w:rPr>
        <w:t xml:space="preserve">Early Years (EYFS) </w:t>
      </w:r>
      <w:r w:rsidR="00D235A0" w:rsidRPr="00D576CC">
        <w:rPr>
          <w:rFonts w:ascii="Arial" w:hAnsi="Arial" w:cs="Arial"/>
        </w:rPr>
        <w:t>-&gt; Primary</w:t>
      </w:r>
      <w:r w:rsidR="00284859" w:rsidRPr="00D576CC">
        <w:rPr>
          <w:rFonts w:ascii="Arial" w:hAnsi="Arial" w:cs="Arial"/>
        </w:rPr>
        <w:t xml:space="preserve"> (Reception-Key Stage 1-Key Stage 2)</w:t>
      </w:r>
      <w:r w:rsidR="00D235A0" w:rsidRPr="00D576CC">
        <w:rPr>
          <w:rFonts w:ascii="Arial" w:hAnsi="Arial" w:cs="Arial"/>
        </w:rPr>
        <w:t xml:space="preserve"> -&gt;</w:t>
      </w:r>
      <w:r w:rsidR="00284859" w:rsidRPr="00D576CC">
        <w:rPr>
          <w:rFonts w:ascii="Arial" w:hAnsi="Arial" w:cs="Arial"/>
        </w:rPr>
        <w:t>Secondary (Key Stage 3-Key Stage 4)</w:t>
      </w:r>
      <w:r w:rsidR="00D576CC" w:rsidRPr="00D576CC">
        <w:rPr>
          <w:rFonts w:ascii="Arial" w:hAnsi="Arial" w:cs="Arial"/>
        </w:rPr>
        <w:t xml:space="preserve"> -&gt; Further education (Key Stage 5) training or employment.</w:t>
      </w:r>
      <w:r w:rsidR="0056058D">
        <w:rPr>
          <w:rStyle w:val="FootnoteReference"/>
          <w:rFonts w:ascii="Arial" w:hAnsi="Arial" w:cs="Arial"/>
        </w:rPr>
        <w:footnoteReference w:id="4"/>
      </w:r>
    </w:p>
    <w:p w14:paraId="044FF2F5" w14:textId="77777777" w:rsidR="000E0902" w:rsidRPr="00D576CC" w:rsidRDefault="000E0902" w:rsidP="00A71B7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9004C6" w14:textId="29F2CED9" w:rsidR="008E1133" w:rsidRDefault="000E0902" w:rsidP="00A71B7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8335F">
        <w:rPr>
          <w:rFonts w:ascii="Arial" w:hAnsi="Arial" w:cs="Arial"/>
        </w:rPr>
        <w:t xml:space="preserve">Some children </w:t>
      </w:r>
      <w:r w:rsidR="00396704" w:rsidRPr="00D8335F">
        <w:rPr>
          <w:rFonts w:ascii="Arial" w:hAnsi="Arial" w:cs="Arial"/>
        </w:rPr>
        <w:t>may experience other “non-standard” educational transition stages</w:t>
      </w:r>
      <w:r w:rsidR="00D8335F" w:rsidRPr="00D8335F">
        <w:rPr>
          <w:rFonts w:ascii="Arial" w:hAnsi="Arial" w:cs="Arial"/>
        </w:rPr>
        <w:t>; including:</w:t>
      </w:r>
    </w:p>
    <w:p w14:paraId="26A8C5CD" w14:textId="77777777" w:rsidR="00935A5B" w:rsidRDefault="00935A5B" w:rsidP="00A71B7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CAFB239" w14:textId="1F9FC2D4" w:rsidR="00935A5B" w:rsidRDefault="00935A5B" w:rsidP="00935A5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In-year </w:t>
      </w:r>
      <w:r w:rsidR="00C0423D">
        <w:rPr>
          <w:rFonts w:ascii="Arial" w:hAnsi="Arial" w:cs="Arial"/>
        </w:rPr>
        <w:t>transfers</w:t>
      </w:r>
      <w:r w:rsidR="00CC7459">
        <w:rPr>
          <w:rFonts w:ascii="Arial" w:hAnsi="Arial" w:cs="Arial"/>
        </w:rPr>
        <w:t xml:space="preserve"> due to</w:t>
      </w:r>
      <w:r w:rsidR="00705418">
        <w:rPr>
          <w:rFonts w:ascii="Arial" w:hAnsi="Arial" w:cs="Arial"/>
        </w:rPr>
        <w:t xml:space="preserve"> a</w:t>
      </w:r>
      <w:r w:rsidR="00CC7459">
        <w:rPr>
          <w:rFonts w:ascii="Arial" w:hAnsi="Arial" w:cs="Arial"/>
        </w:rPr>
        <w:t xml:space="preserve"> change in circumstances </w:t>
      </w:r>
      <w:r w:rsidR="00705418">
        <w:rPr>
          <w:rFonts w:ascii="Arial" w:hAnsi="Arial" w:cs="Arial"/>
        </w:rPr>
        <w:t>(including</w:t>
      </w:r>
      <w:r w:rsidR="00A25386">
        <w:rPr>
          <w:rFonts w:ascii="Arial" w:hAnsi="Arial" w:cs="Arial"/>
        </w:rPr>
        <w:t xml:space="preserve"> a change in care or accommodation arrangements or</w:t>
      </w:r>
      <w:r w:rsidR="00705418">
        <w:rPr>
          <w:rFonts w:ascii="Arial" w:hAnsi="Arial" w:cs="Arial"/>
        </w:rPr>
        <w:t xml:space="preserve"> </w:t>
      </w:r>
      <w:r w:rsidR="000D5799">
        <w:rPr>
          <w:rFonts w:ascii="Arial" w:hAnsi="Arial" w:cs="Arial"/>
        </w:rPr>
        <w:t xml:space="preserve">to meet special educational needs) </w:t>
      </w:r>
      <w:r w:rsidR="00CC7459">
        <w:rPr>
          <w:rFonts w:ascii="Arial" w:hAnsi="Arial" w:cs="Arial"/>
        </w:rPr>
        <w:t xml:space="preserve">or </w:t>
      </w:r>
      <w:r w:rsidR="00C0423D">
        <w:rPr>
          <w:rFonts w:ascii="Arial" w:hAnsi="Arial" w:cs="Arial"/>
        </w:rPr>
        <w:t>child/</w:t>
      </w:r>
      <w:r w:rsidR="00CC7459">
        <w:rPr>
          <w:rFonts w:ascii="Arial" w:hAnsi="Arial" w:cs="Arial"/>
        </w:rPr>
        <w:t>parental preference.</w:t>
      </w:r>
    </w:p>
    <w:p w14:paraId="2D119A69" w14:textId="4C61C48A" w:rsidR="00935A5B" w:rsidRDefault="00D31A3B" w:rsidP="00935A5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Accessing </w:t>
      </w:r>
      <w:r w:rsidR="00697D85">
        <w:rPr>
          <w:rFonts w:ascii="Arial" w:hAnsi="Arial" w:cs="Arial"/>
        </w:rPr>
        <w:t>alternative provision</w:t>
      </w:r>
      <w:r w:rsidR="006F404E">
        <w:rPr>
          <w:rFonts w:ascii="Arial" w:hAnsi="Arial" w:cs="Arial"/>
        </w:rPr>
        <w:t xml:space="preserve"> or</w:t>
      </w:r>
      <w:r w:rsidR="002639EA">
        <w:rPr>
          <w:rFonts w:ascii="Arial" w:hAnsi="Arial" w:cs="Arial"/>
        </w:rPr>
        <w:t xml:space="preserve"> (to support special educational needs</w:t>
      </w:r>
      <w:r w:rsidR="000D5799">
        <w:rPr>
          <w:rFonts w:ascii="Arial" w:hAnsi="Arial" w:cs="Arial"/>
        </w:rPr>
        <w:t xml:space="preserve"> or continue</w:t>
      </w:r>
      <w:r w:rsidR="002639EA">
        <w:rPr>
          <w:rFonts w:ascii="Arial" w:hAnsi="Arial" w:cs="Arial"/>
        </w:rPr>
        <w:t xml:space="preserve"> </w:t>
      </w:r>
      <w:r w:rsidR="006F404E">
        <w:rPr>
          <w:rFonts w:ascii="Arial" w:hAnsi="Arial" w:cs="Arial"/>
        </w:rPr>
        <w:t>accessing education whilst receiving medical treatment</w:t>
      </w:r>
      <w:r w:rsidR="000D5799">
        <w:rPr>
          <w:rFonts w:ascii="Arial" w:hAnsi="Arial" w:cs="Arial"/>
        </w:rPr>
        <w:t>)</w:t>
      </w:r>
      <w:r w:rsidR="00CC7459">
        <w:rPr>
          <w:rFonts w:ascii="Arial" w:hAnsi="Arial" w:cs="Arial"/>
        </w:rPr>
        <w:t>.</w:t>
      </w:r>
    </w:p>
    <w:p w14:paraId="23B7FE19" w14:textId="63AB39FC" w:rsidR="00A84014" w:rsidRDefault="00CC7459" w:rsidP="00935A5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Becoming electively home educated.</w:t>
      </w:r>
    </w:p>
    <w:p w14:paraId="41A9BF44" w14:textId="41A0CFA3" w:rsidR="00CC7459" w:rsidRDefault="00505F0D" w:rsidP="00935A5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Following e</w:t>
      </w:r>
      <w:r w:rsidR="001E1257">
        <w:rPr>
          <w:rFonts w:ascii="Arial" w:hAnsi="Arial" w:cs="Arial"/>
        </w:rPr>
        <w:t>xclusion</w:t>
      </w:r>
      <w:r>
        <w:rPr>
          <w:rFonts w:ascii="Arial" w:hAnsi="Arial" w:cs="Arial"/>
        </w:rPr>
        <w:t>.</w:t>
      </w:r>
    </w:p>
    <w:p w14:paraId="1DC96D1F" w14:textId="73F92B40" w:rsidR="001E1257" w:rsidRDefault="009E3685" w:rsidP="00935A5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Missing </w:t>
      </w:r>
      <w:r w:rsidR="00053045">
        <w:rPr>
          <w:rFonts w:ascii="Arial" w:hAnsi="Arial" w:cs="Arial"/>
        </w:rPr>
        <w:t>e</w:t>
      </w:r>
      <w:r>
        <w:rPr>
          <w:rFonts w:ascii="Arial" w:hAnsi="Arial" w:cs="Arial"/>
        </w:rPr>
        <w:t>ducation</w:t>
      </w:r>
      <w:r w:rsidR="00E90155">
        <w:rPr>
          <w:rFonts w:ascii="Arial" w:hAnsi="Arial" w:cs="Arial"/>
        </w:rPr>
        <w:t>.</w:t>
      </w:r>
    </w:p>
    <w:p w14:paraId="230FE53B" w14:textId="3911E9A6" w:rsidR="0002034D" w:rsidRDefault="0002034D" w:rsidP="00935A5B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Reintegration following a period of </w:t>
      </w:r>
      <w:r w:rsidR="007760DD">
        <w:rPr>
          <w:rFonts w:ascii="Arial" w:hAnsi="Arial" w:cs="Arial"/>
        </w:rPr>
        <w:t xml:space="preserve">non-formal education. </w:t>
      </w:r>
    </w:p>
    <w:p w14:paraId="093475C0" w14:textId="77777777" w:rsidR="00E90155" w:rsidRDefault="00E90155" w:rsidP="00E9015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4767C25" w14:textId="1F5931E8" w:rsidR="00D8335F" w:rsidRPr="008775A6" w:rsidRDefault="00B54FB0" w:rsidP="00A71B7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775A6">
        <w:rPr>
          <w:rFonts w:ascii="Arial" w:hAnsi="Arial" w:cs="Arial"/>
        </w:rPr>
        <w:t xml:space="preserve">Educational transition is an opportunity for a child </w:t>
      </w:r>
      <w:r w:rsidR="002132AD" w:rsidRPr="008775A6">
        <w:rPr>
          <w:rFonts w:ascii="Arial" w:hAnsi="Arial" w:cs="Arial"/>
        </w:rPr>
        <w:t>to further their educational development and growth; as well as develop their resilience to respond to change</w:t>
      </w:r>
      <w:r w:rsidR="009E3685" w:rsidRPr="008775A6">
        <w:rPr>
          <w:rFonts w:ascii="Arial" w:hAnsi="Arial" w:cs="Arial"/>
        </w:rPr>
        <w:t xml:space="preserve">. However, </w:t>
      </w:r>
      <w:r w:rsidR="00067679" w:rsidRPr="008775A6">
        <w:rPr>
          <w:rFonts w:ascii="Arial" w:hAnsi="Arial" w:cs="Arial"/>
        </w:rPr>
        <w:t>children who</w:t>
      </w:r>
      <w:r w:rsidR="001A4CB7" w:rsidRPr="008775A6">
        <w:rPr>
          <w:rFonts w:ascii="Arial" w:hAnsi="Arial" w:cs="Arial"/>
        </w:rPr>
        <w:t xml:space="preserve"> experience multiple non-standard educational transitions</w:t>
      </w:r>
      <w:r w:rsidR="00C25B2D" w:rsidRPr="008775A6">
        <w:rPr>
          <w:rFonts w:ascii="Arial" w:hAnsi="Arial" w:cs="Arial"/>
        </w:rPr>
        <w:t xml:space="preserve"> and/or </w:t>
      </w:r>
      <w:r w:rsidR="00E26D8B" w:rsidRPr="008775A6">
        <w:rPr>
          <w:rFonts w:ascii="Arial" w:hAnsi="Arial" w:cs="Arial"/>
        </w:rPr>
        <w:t xml:space="preserve">have </w:t>
      </w:r>
      <w:r w:rsidR="00340A0A" w:rsidRPr="008775A6">
        <w:rPr>
          <w:rFonts w:ascii="Arial" w:hAnsi="Arial" w:cs="Arial"/>
        </w:rPr>
        <w:t>‘educational vulnerabilities’</w:t>
      </w:r>
      <w:r w:rsidR="00340A0A" w:rsidRPr="008775A6">
        <w:rPr>
          <w:rStyle w:val="FootnoteReference"/>
          <w:rFonts w:ascii="Arial" w:hAnsi="Arial" w:cs="Arial"/>
        </w:rPr>
        <w:footnoteReference w:id="5"/>
      </w:r>
      <w:r w:rsidR="00340A0A" w:rsidRPr="008775A6">
        <w:rPr>
          <w:rFonts w:ascii="Arial" w:hAnsi="Arial" w:cs="Arial"/>
        </w:rPr>
        <w:t xml:space="preserve"> </w:t>
      </w:r>
      <w:r w:rsidR="00EF5F1E" w:rsidRPr="008775A6">
        <w:rPr>
          <w:rFonts w:ascii="Arial" w:hAnsi="Arial" w:cs="Arial"/>
        </w:rPr>
        <w:t>will find educational transition more difficult</w:t>
      </w:r>
      <w:r w:rsidR="002A304B">
        <w:rPr>
          <w:rFonts w:ascii="Arial" w:hAnsi="Arial" w:cs="Arial"/>
        </w:rPr>
        <w:t xml:space="preserve">. </w:t>
      </w:r>
    </w:p>
    <w:p w14:paraId="57816832" w14:textId="77777777" w:rsidR="00A71B70" w:rsidRDefault="00A71B70" w:rsidP="00A71B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D82A2A7" w14:textId="32B87CD9" w:rsidR="00F81F63" w:rsidRDefault="0062298E" w:rsidP="00A71B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C5280C">
        <w:rPr>
          <w:rStyle w:val="normaltextrun"/>
          <w:rFonts w:ascii="Arial" w:hAnsi="Arial" w:cs="Arial"/>
        </w:rPr>
        <w:lastRenderedPageBreak/>
        <w:t xml:space="preserve">This guidance and supporting templates have been developed to support </w:t>
      </w:r>
      <w:r w:rsidR="00240BF9" w:rsidRPr="00C5280C">
        <w:rPr>
          <w:rStyle w:val="normaltextrun"/>
          <w:rFonts w:ascii="Arial" w:hAnsi="Arial" w:cs="Arial"/>
        </w:rPr>
        <w:t>education settings</w:t>
      </w:r>
      <w:r w:rsidR="00240BF9" w:rsidRPr="00C5280C">
        <w:rPr>
          <w:rStyle w:val="FootnoteReference"/>
          <w:rFonts w:ascii="Arial" w:hAnsi="Arial" w:cs="Arial"/>
        </w:rPr>
        <w:footnoteReference w:id="6"/>
      </w:r>
      <w:r w:rsidR="004C52C9">
        <w:rPr>
          <w:rStyle w:val="normaltextrun"/>
          <w:rFonts w:ascii="Arial" w:hAnsi="Arial" w:cs="Arial"/>
        </w:rPr>
        <w:t xml:space="preserve"> and </w:t>
      </w:r>
      <w:r w:rsidR="00CB7C91">
        <w:rPr>
          <w:rStyle w:val="normaltextrun"/>
          <w:rFonts w:ascii="Arial" w:hAnsi="Arial" w:cs="Arial"/>
        </w:rPr>
        <w:t>Shropshire Council</w:t>
      </w:r>
      <w:r w:rsidR="004C52C9">
        <w:rPr>
          <w:rStyle w:val="normaltextrun"/>
          <w:rFonts w:ascii="Arial" w:hAnsi="Arial" w:cs="Arial"/>
        </w:rPr>
        <w:t xml:space="preserve"> Education Services</w:t>
      </w:r>
      <w:r w:rsidR="00240BF9" w:rsidRPr="00C5280C">
        <w:rPr>
          <w:rStyle w:val="normaltextrun"/>
          <w:rFonts w:ascii="Arial" w:hAnsi="Arial" w:cs="Arial"/>
        </w:rPr>
        <w:t xml:space="preserve"> </w:t>
      </w:r>
      <w:r w:rsidR="004936F0">
        <w:rPr>
          <w:rStyle w:val="normaltextrun"/>
          <w:rFonts w:ascii="Arial" w:hAnsi="Arial" w:cs="Arial"/>
        </w:rPr>
        <w:t xml:space="preserve">to </w:t>
      </w:r>
      <w:r w:rsidR="0028623B">
        <w:rPr>
          <w:rStyle w:val="normaltextrun"/>
          <w:rFonts w:ascii="Arial" w:hAnsi="Arial" w:cs="Arial"/>
        </w:rPr>
        <w:t>ensure</w:t>
      </w:r>
      <w:r w:rsidR="00FB5E45">
        <w:rPr>
          <w:rStyle w:val="normaltextrun"/>
          <w:rFonts w:ascii="Arial" w:hAnsi="Arial" w:cs="Arial"/>
        </w:rPr>
        <w:t xml:space="preserve"> the t</w:t>
      </w:r>
      <w:r w:rsidR="008C7A27">
        <w:rPr>
          <w:rStyle w:val="normaltextrun"/>
          <w:rFonts w:ascii="Arial" w:hAnsi="Arial" w:cs="Arial"/>
        </w:rPr>
        <w:t xml:space="preserve">imely </w:t>
      </w:r>
      <w:r w:rsidR="007F2C1B">
        <w:rPr>
          <w:rStyle w:val="normaltextrun"/>
          <w:rFonts w:ascii="Arial" w:hAnsi="Arial" w:cs="Arial"/>
        </w:rPr>
        <w:t>sharing of safeguarding information</w:t>
      </w:r>
      <w:r w:rsidR="007D21B9">
        <w:rPr>
          <w:rStyle w:val="normaltextrun"/>
          <w:rFonts w:ascii="Arial" w:hAnsi="Arial" w:cs="Arial"/>
        </w:rPr>
        <w:t xml:space="preserve"> for all children and particularly children who</w:t>
      </w:r>
      <w:r w:rsidR="00B32E23">
        <w:rPr>
          <w:rStyle w:val="normaltextrun"/>
          <w:rFonts w:ascii="Arial" w:hAnsi="Arial" w:cs="Arial"/>
        </w:rPr>
        <w:t xml:space="preserve"> would benefit from an “</w:t>
      </w:r>
      <w:hyperlink w:anchor="_Enhanced_Transition_1" w:history="1">
        <w:r w:rsidR="00B32E23" w:rsidRPr="0011167A">
          <w:rPr>
            <w:rStyle w:val="Hyperlink"/>
            <w:rFonts w:ascii="Arial" w:hAnsi="Arial" w:cs="Arial"/>
          </w:rPr>
          <w:t>enhanced transition</w:t>
        </w:r>
      </w:hyperlink>
      <w:r w:rsidR="00B32E23">
        <w:rPr>
          <w:rStyle w:val="normaltextrun"/>
          <w:rFonts w:ascii="Arial" w:hAnsi="Arial" w:cs="Arial"/>
        </w:rPr>
        <w:t>”</w:t>
      </w:r>
      <w:r w:rsidR="0011167A">
        <w:rPr>
          <w:rStyle w:val="normaltextrun"/>
          <w:rFonts w:ascii="Arial" w:hAnsi="Arial" w:cs="Arial"/>
        </w:rPr>
        <w:t>.</w:t>
      </w:r>
    </w:p>
    <w:p w14:paraId="77A62169" w14:textId="77777777" w:rsidR="00F81F63" w:rsidRDefault="00F81F63" w:rsidP="00A71B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D729E33" w14:textId="20BF75FB" w:rsidR="0062298E" w:rsidRPr="00705722" w:rsidRDefault="003F1FC2" w:rsidP="00705722">
      <w:pPr>
        <w:pStyle w:val="Heading1"/>
        <w:rPr>
          <w:rStyle w:val="normaltextrun"/>
          <w:rFonts w:ascii="Arial" w:hAnsi="Arial" w:cs="Arial"/>
        </w:rPr>
      </w:pPr>
      <w:bookmarkStart w:id="1" w:name="_Safeguarding_children_during"/>
      <w:bookmarkEnd w:id="1"/>
      <w:r w:rsidRPr="00705722">
        <w:rPr>
          <w:rStyle w:val="normaltextrun"/>
          <w:rFonts w:ascii="Arial" w:hAnsi="Arial" w:cs="Arial"/>
        </w:rPr>
        <w:t>Safeguarding children during educational transition</w:t>
      </w:r>
    </w:p>
    <w:p w14:paraId="377395E7" w14:textId="512F8718" w:rsidR="001053B2" w:rsidRDefault="00117907" w:rsidP="00FF35A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During </w:t>
      </w:r>
      <w:r w:rsidR="00CF677F">
        <w:rPr>
          <w:rFonts w:ascii="Arial" w:hAnsi="Arial" w:cs="Arial"/>
          <w:lang w:val="en-GB"/>
        </w:rPr>
        <w:t xml:space="preserve">a child’s </w:t>
      </w:r>
      <w:r>
        <w:rPr>
          <w:rFonts w:ascii="Arial" w:hAnsi="Arial" w:cs="Arial"/>
          <w:lang w:val="en-GB"/>
        </w:rPr>
        <w:t xml:space="preserve">educational </w:t>
      </w:r>
      <w:r w:rsidR="00991814">
        <w:rPr>
          <w:rFonts w:ascii="Arial" w:hAnsi="Arial" w:cs="Arial"/>
          <w:lang w:val="en-GB"/>
        </w:rPr>
        <w:t>transition,</w:t>
      </w:r>
      <w:r>
        <w:rPr>
          <w:rFonts w:ascii="Arial" w:hAnsi="Arial" w:cs="Arial"/>
          <w:lang w:val="en-GB"/>
        </w:rPr>
        <w:t xml:space="preserve"> a</w:t>
      </w:r>
      <w:r w:rsidR="00D8096E">
        <w:rPr>
          <w:rFonts w:ascii="Arial" w:hAnsi="Arial" w:cs="Arial"/>
          <w:lang w:val="en-GB"/>
        </w:rPr>
        <w:t xml:space="preserve"> lack of information </w:t>
      </w:r>
      <w:r w:rsidR="004E133C">
        <w:rPr>
          <w:rFonts w:ascii="Arial" w:hAnsi="Arial" w:cs="Arial"/>
          <w:lang w:val="en-GB"/>
        </w:rPr>
        <w:t>sharing</w:t>
      </w:r>
      <w:r w:rsidR="00CE66CF">
        <w:rPr>
          <w:rFonts w:ascii="Arial" w:hAnsi="Arial" w:cs="Arial"/>
          <w:lang w:val="en-GB"/>
        </w:rPr>
        <w:t xml:space="preserve"> between </w:t>
      </w:r>
      <w:r w:rsidR="00073CDE">
        <w:rPr>
          <w:rFonts w:ascii="Arial" w:hAnsi="Arial" w:cs="Arial"/>
          <w:lang w:val="en-GB"/>
        </w:rPr>
        <w:t>agencies</w:t>
      </w:r>
      <w:r w:rsidR="004E133C">
        <w:rPr>
          <w:rFonts w:ascii="Arial" w:hAnsi="Arial" w:cs="Arial"/>
          <w:lang w:val="en-GB"/>
        </w:rPr>
        <w:t xml:space="preserve"> </w:t>
      </w:r>
      <w:r w:rsidR="00513996">
        <w:rPr>
          <w:rFonts w:ascii="Arial" w:hAnsi="Arial" w:cs="Arial"/>
          <w:lang w:val="en-GB"/>
        </w:rPr>
        <w:t xml:space="preserve">about a </w:t>
      </w:r>
      <w:r w:rsidR="00CE66CF">
        <w:rPr>
          <w:rFonts w:ascii="Arial" w:hAnsi="Arial" w:cs="Arial"/>
          <w:lang w:val="en-GB"/>
        </w:rPr>
        <w:t>child’s</w:t>
      </w:r>
      <w:r w:rsidR="00513996">
        <w:rPr>
          <w:rFonts w:ascii="Arial" w:hAnsi="Arial" w:cs="Arial"/>
          <w:lang w:val="en-GB"/>
        </w:rPr>
        <w:t xml:space="preserve"> needs and circumstances can impact</w:t>
      </w:r>
      <w:r w:rsidR="00CE66CF">
        <w:rPr>
          <w:rFonts w:ascii="Arial" w:hAnsi="Arial" w:cs="Arial"/>
          <w:lang w:val="en-GB"/>
        </w:rPr>
        <w:t xml:space="preserve"> their</w:t>
      </w:r>
      <w:r w:rsidR="009118CE">
        <w:rPr>
          <w:rFonts w:ascii="Arial" w:hAnsi="Arial" w:cs="Arial"/>
          <w:lang w:val="en-GB"/>
        </w:rPr>
        <w:t xml:space="preserve"> </w:t>
      </w:r>
      <w:r w:rsidR="00513996">
        <w:rPr>
          <w:rFonts w:ascii="Arial" w:hAnsi="Arial" w:cs="Arial"/>
          <w:lang w:val="en-GB"/>
        </w:rPr>
        <w:t xml:space="preserve">welfare, safety and educational outcomes. </w:t>
      </w:r>
    </w:p>
    <w:p w14:paraId="7217262E" w14:textId="77777777" w:rsidR="00A5558D" w:rsidRDefault="00A5558D" w:rsidP="00FF35A9">
      <w:pPr>
        <w:rPr>
          <w:rFonts w:ascii="Arial" w:hAnsi="Arial" w:cs="Arial"/>
          <w:lang w:val="en-GB"/>
        </w:rPr>
      </w:pPr>
    </w:p>
    <w:p w14:paraId="1867461A" w14:textId="06BEB540" w:rsidR="00CE66CF" w:rsidRDefault="00D40B1D" w:rsidP="00FF35A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Timely </w:t>
      </w:r>
      <w:r w:rsidR="00230BD8">
        <w:rPr>
          <w:rFonts w:ascii="Arial" w:hAnsi="Arial" w:cs="Arial"/>
          <w:lang w:val="en-GB"/>
        </w:rPr>
        <w:t xml:space="preserve">and effective </w:t>
      </w:r>
      <w:r w:rsidR="00D03823">
        <w:rPr>
          <w:rFonts w:ascii="Arial" w:hAnsi="Arial" w:cs="Arial"/>
          <w:lang w:val="en-GB"/>
        </w:rPr>
        <w:t xml:space="preserve">sharing of </w:t>
      </w:r>
      <w:r w:rsidR="00D84F2A">
        <w:rPr>
          <w:rFonts w:ascii="Arial" w:hAnsi="Arial" w:cs="Arial"/>
          <w:lang w:val="en-GB"/>
        </w:rPr>
        <w:t xml:space="preserve">safeguarding </w:t>
      </w:r>
      <w:r w:rsidR="006A1EF7">
        <w:rPr>
          <w:rFonts w:ascii="Arial" w:hAnsi="Arial" w:cs="Arial"/>
          <w:lang w:val="en-GB"/>
        </w:rPr>
        <w:t xml:space="preserve">information </w:t>
      </w:r>
      <w:r w:rsidR="00A5558D">
        <w:rPr>
          <w:rFonts w:ascii="Arial" w:hAnsi="Arial" w:cs="Arial"/>
          <w:lang w:val="en-GB"/>
        </w:rPr>
        <w:t xml:space="preserve">from </w:t>
      </w:r>
      <w:r w:rsidR="006A1EF7">
        <w:rPr>
          <w:rFonts w:ascii="Arial" w:hAnsi="Arial" w:cs="Arial"/>
          <w:lang w:val="en-GB"/>
        </w:rPr>
        <w:t xml:space="preserve">the </w:t>
      </w:r>
      <w:r w:rsidR="008200CE">
        <w:rPr>
          <w:rFonts w:ascii="Arial" w:hAnsi="Arial" w:cs="Arial"/>
          <w:lang w:val="en-GB"/>
        </w:rPr>
        <w:t>education</w:t>
      </w:r>
      <w:r w:rsidR="004A2A1A">
        <w:rPr>
          <w:rFonts w:ascii="Arial" w:hAnsi="Arial" w:cs="Arial"/>
          <w:lang w:val="en-GB"/>
        </w:rPr>
        <w:t xml:space="preserve"> setting the child is</w:t>
      </w:r>
      <w:r w:rsidR="00A5558D">
        <w:rPr>
          <w:rFonts w:ascii="Arial" w:hAnsi="Arial" w:cs="Arial"/>
          <w:lang w:val="en-GB"/>
        </w:rPr>
        <w:t xml:space="preserve"> leaving to the receiving education setting or </w:t>
      </w:r>
      <w:r w:rsidR="000E20F6">
        <w:rPr>
          <w:rFonts w:ascii="Arial" w:hAnsi="Arial" w:cs="Arial"/>
          <w:lang w:val="en-GB"/>
        </w:rPr>
        <w:t xml:space="preserve">Local Authority </w:t>
      </w:r>
      <w:r w:rsidR="00864CFA">
        <w:rPr>
          <w:rFonts w:ascii="Arial" w:hAnsi="Arial" w:cs="Arial"/>
          <w:lang w:val="en-GB"/>
        </w:rPr>
        <w:t>is vital</w:t>
      </w:r>
      <w:r w:rsidR="000E20F6">
        <w:rPr>
          <w:rFonts w:ascii="Arial" w:hAnsi="Arial" w:cs="Arial"/>
          <w:lang w:val="en-GB"/>
        </w:rPr>
        <w:t xml:space="preserve"> </w:t>
      </w:r>
      <w:r w:rsidR="00403D2E">
        <w:rPr>
          <w:rFonts w:ascii="Arial" w:hAnsi="Arial" w:cs="Arial"/>
          <w:lang w:val="en-GB"/>
        </w:rPr>
        <w:t xml:space="preserve">to ensure </w:t>
      </w:r>
      <w:r w:rsidR="00CE66CF">
        <w:rPr>
          <w:rFonts w:ascii="Arial" w:hAnsi="Arial" w:cs="Arial"/>
          <w:lang w:val="en-GB"/>
        </w:rPr>
        <w:t>they receive</w:t>
      </w:r>
      <w:r w:rsidR="00403D2E">
        <w:rPr>
          <w:rFonts w:ascii="Arial" w:hAnsi="Arial" w:cs="Arial"/>
          <w:lang w:val="en-GB"/>
        </w:rPr>
        <w:t xml:space="preserve"> the help, support and if necessary, protection they may need</w:t>
      </w:r>
      <w:r w:rsidR="00CE66CF">
        <w:rPr>
          <w:rFonts w:ascii="Arial" w:hAnsi="Arial" w:cs="Arial"/>
          <w:lang w:val="en-GB"/>
        </w:rPr>
        <w:t>.</w:t>
      </w:r>
    </w:p>
    <w:p w14:paraId="085D5F7B" w14:textId="77777777" w:rsidR="00CE66CF" w:rsidRDefault="00CE66CF" w:rsidP="00FF35A9">
      <w:pPr>
        <w:rPr>
          <w:rFonts w:ascii="Arial" w:hAnsi="Arial" w:cs="Arial"/>
          <w:lang w:val="en-GB"/>
        </w:rPr>
      </w:pPr>
    </w:p>
    <w:p w14:paraId="537FAB2E" w14:textId="285737CE" w:rsidR="00DD34E4" w:rsidRDefault="00403D2E" w:rsidP="002E31B1">
      <w:pPr>
        <w:pStyle w:val="Heading2"/>
        <w:rPr>
          <w:rFonts w:ascii="Arial" w:hAnsi="Arial" w:cs="Arial"/>
          <w:sz w:val="24"/>
          <w:szCs w:val="24"/>
          <w:u w:val="single"/>
          <w:lang w:val="en-GB"/>
        </w:rPr>
      </w:pPr>
      <w:bookmarkStart w:id="2" w:name="_Child_Protection_Files"/>
      <w:bookmarkEnd w:id="2"/>
      <w:r>
        <w:rPr>
          <w:lang w:val="en-GB"/>
        </w:rPr>
        <w:t xml:space="preserve"> </w:t>
      </w:r>
      <w:r w:rsidR="00270D96" w:rsidRPr="00A47786">
        <w:rPr>
          <w:rFonts w:ascii="Arial" w:hAnsi="Arial" w:cs="Arial"/>
          <w:sz w:val="24"/>
          <w:szCs w:val="24"/>
          <w:u w:val="single"/>
          <w:lang w:val="en-GB"/>
        </w:rPr>
        <w:t>Child Protection Files</w:t>
      </w:r>
    </w:p>
    <w:p w14:paraId="09C6EB41" w14:textId="71E46D8D" w:rsidR="00001171" w:rsidRDefault="007C6C89" w:rsidP="00270D9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Every child in an education setting should have a </w:t>
      </w:r>
      <w:r w:rsidR="00F65EA5">
        <w:rPr>
          <w:rFonts w:ascii="Arial" w:hAnsi="Arial" w:cs="Arial"/>
          <w:lang w:val="en-GB"/>
        </w:rPr>
        <w:t>child protection file</w:t>
      </w:r>
      <w:r w:rsidR="00487284">
        <w:rPr>
          <w:rFonts w:ascii="Arial" w:hAnsi="Arial" w:cs="Arial"/>
          <w:lang w:val="en-GB"/>
        </w:rPr>
        <w:t>,</w:t>
      </w:r>
      <w:r w:rsidR="000E37B8">
        <w:rPr>
          <w:rFonts w:ascii="Arial" w:hAnsi="Arial" w:cs="Arial"/>
          <w:lang w:val="en-GB"/>
        </w:rPr>
        <w:t xml:space="preserve"> where necessary</w:t>
      </w:r>
      <w:r w:rsidR="00487284">
        <w:rPr>
          <w:rFonts w:ascii="Arial" w:hAnsi="Arial" w:cs="Arial"/>
          <w:lang w:val="en-GB"/>
        </w:rPr>
        <w:t>,</w:t>
      </w:r>
      <w:r w:rsidR="002922AE">
        <w:rPr>
          <w:rFonts w:ascii="Arial" w:hAnsi="Arial" w:cs="Arial"/>
          <w:lang w:val="en-GB"/>
        </w:rPr>
        <w:t xml:space="preserve"> in electronic and/or paper format</w:t>
      </w:r>
      <w:r w:rsidR="000E37B8">
        <w:rPr>
          <w:rFonts w:ascii="Arial" w:hAnsi="Arial" w:cs="Arial"/>
          <w:lang w:val="en-GB"/>
        </w:rPr>
        <w:t>. This</w:t>
      </w:r>
      <w:r w:rsidR="00D553CB">
        <w:rPr>
          <w:rFonts w:ascii="Arial" w:hAnsi="Arial" w:cs="Arial"/>
          <w:lang w:val="en-GB"/>
        </w:rPr>
        <w:t xml:space="preserve"> is separate from the </w:t>
      </w:r>
      <w:r w:rsidR="00DB25D1">
        <w:rPr>
          <w:rFonts w:ascii="Arial" w:hAnsi="Arial" w:cs="Arial"/>
          <w:lang w:val="en-GB"/>
        </w:rPr>
        <w:t>main pupil file</w:t>
      </w:r>
      <w:r w:rsidR="00F4690A">
        <w:rPr>
          <w:rFonts w:ascii="Arial" w:hAnsi="Arial" w:cs="Arial"/>
          <w:lang w:val="en-GB"/>
        </w:rPr>
        <w:t xml:space="preserve"> and forms part of the education settings systems and processes. </w:t>
      </w:r>
      <w:r w:rsidR="00626C8C">
        <w:rPr>
          <w:rFonts w:ascii="Arial" w:hAnsi="Arial" w:cs="Arial"/>
          <w:lang w:val="en-GB"/>
        </w:rPr>
        <w:t>It is the responsibility of the education setting’s Designated Safeguarding Lead</w:t>
      </w:r>
      <w:r w:rsidR="0094577A">
        <w:rPr>
          <w:rFonts w:ascii="Arial" w:hAnsi="Arial" w:cs="Arial"/>
          <w:lang w:val="en-GB"/>
        </w:rPr>
        <w:t xml:space="preserve"> (DSL)</w:t>
      </w:r>
      <w:r w:rsidR="00626C8C">
        <w:rPr>
          <w:rFonts w:ascii="Arial" w:hAnsi="Arial" w:cs="Arial"/>
          <w:lang w:val="en-GB"/>
        </w:rPr>
        <w:t xml:space="preserve"> to ensure that they </w:t>
      </w:r>
      <w:r w:rsidR="005051EF">
        <w:rPr>
          <w:rFonts w:ascii="Arial" w:hAnsi="Arial" w:cs="Arial"/>
          <w:lang w:val="en-GB"/>
        </w:rPr>
        <w:t>manage and transfer the file</w:t>
      </w:r>
      <w:r w:rsidR="00044257">
        <w:rPr>
          <w:rFonts w:ascii="Arial" w:hAnsi="Arial" w:cs="Arial"/>
          <w:lang w:val="en-GB"/>
        </w:rPr>
        <w:t xml:space="preserve"> according to standards</w:t>
      </w:r>
      <w:r w:rsidR="0094577A">
        <w:rPr>
          <w:rFonts w:ascii="Arial" w:hAnsi="Arial" w:cs="Arial"/>
          <w:lang w:val="en-GB"/>
        </w:rPr>
        <w:t xml:space="preserve"> and legal obligations as</w:t>
      </w:r>
      <w:r w:rsidR="00044257">
        <w:rPr>
          <w:rFonts w:ascii="Arial" w:hAnsi="Arial" w:cs="Arial"/>
          <w:lang w:val="en-GB"/>
        </w:rPr>
        <w:t xml:space="preserve"> outlined in </w:t>
      </w:r>
      <w:hyperlink r:id="rId10" w:history="1">
        <w:r w:rsidR="00270D96" w:rsidRPr="00764696">
          <w:rPr>
            <w:rStyle w:val="Hyperlink"/>
            <w:rFonts w:ascii="Arial" w:hAnsi="Arial" w:cs="Arial"/>
            <w:lang w:val="en-GB"/>
          </w:rPr>
          <w:t>Keeping Children Safe in Education</w:t>
        </w:r>
      </w:hyperlink>
      <w:r w:rsidR="00270D96">
        <w:rPr>
          <w:rFonts w:ascii="Arial" w:hAnsi="Arial" w:cs="Arial"/>
          <w:lang w:val="en-GB"/>
        </w:rPr>
        <w:t xml:space="preserve"> </w:t>
      </w:r>
      <w:r w:rsidR="00991814">
        <w:rPr>
          <w:rFonts w:ascii="Arial" w:hAnsi="Arial" w:cs="Arial"/>
          <w:lang w:val="en-GB"/>
        </w:rPr>
        <w:t>(KCSIE):</w:t>
      </w:r>
      <w:r w:rsidR="00801A97">
        <w:rPr>
          <w:rFonts w:ascii="Arial" w:hAnsi="Arial" w:cs="Arial"/>
          <w:lang w:val="en-GB"/>
        </w:rPr>
        <w:t xml:space="preserve"> </w:t>
      </w:r>
      <w:r w:rsidR="00EB7112">
        <w:rPr>
          <w:rFonts w:ascii="Arial" w:hAnsi="Arial" w:cs="Arial"/>
          <w:lang w:val="en-GB"/>
        </w:rPr>
        <w:t>Annex C</w:t>
      </w:r>
      <w:r w:rsidR="00801A97">
        <w:rPr>
          <w:rFonts w:ascii="Arial" w:hAnsi="Arial" w:cs="Arial"/>
          <w:lang w:val="en-GB"/>
        </w:rPr>
        <w:t xml:space="preserve"> </w:t>
      </w:r>
      <w:r w:rsidR="0094577A">
        <w:rPr>
          <w:rFonts w:ascii="Arial" w:hAnsi="Arial" w:cs="Arial"/>
          <w:lang w:val="en-GB"/>
        </w:rPr>
        <w:t>and Part 2 (legislation and the law)</w:t>
      </w:r>
      <w:r w:rsidR="00E91492">
        <w:rPr>
          <w:rFonts w:ascii="Arial" w:hAnsi="Arial" w:cs="Arial"/>
          <w:lang w:val="en-GB"/>
        </w:rPr>
        <w:t>. I</w:t>
      </w:r>
      <w:r w:rsidR="008B1386">
        <w:rPr>
          <w:rFonts w:ascii="Arial" w:hAnsi="Arial" w:cs="Arial"/>
          <w:lang w:val="en-GB"/>
        </w:rPr>
        <w:t xml:space="preserve">n the case of Early Years providers </w:t>
      </w:r>
      <w:r w:rsidR="00DB1567">
        <w:rPr>
          <w:rFonts w:ascii="Arial" w:hAnsi="Arial" w:cs="Arial"/>
          <w:lang w:val="en-GB"/>
        </w:rPr>
        <w:t xml:space="preserve">the </w:t>
      </w:r>
      <w:hyperlink r:id="rId11" w:history="1">
        <w:r w:rsidR="00DB1567" w:rsidRPr="00247621">
          <w:rPr>
            <w:rStyle w:val="Hyperlink"/>
            <w:rFonts w:ascii="Arial" w:hAnsi="Arial" w:cs="Arial"/>
            <w:lang w:val="en-GB"/>
          </w:rPr>
          <w:t>E</w:t>
        </w:r>
        <w:r w:rsidR="00247621">
          <w:rPr>
            <w:rStyle w:val="Hyperlink"/>
            <w:rFonts w:ascii="Arial" w:hAnsi="Arial" w:cs="Arial"/>
            <w:lang w:val="en-GB"/>
          </w:rPr>
          <w:t xml:space="preserve">arly </w:t>
        </w:r>
        <w:r w:rsidR="00DB1567" w:rsidRPr="00247621">
          <w:rPr>
            <w:rStyle w:val="Hyperlink"/>
            <w:rFonts w:ascii="Arial" w:hAnsi="Arial" w:cs="Arial"/>
            <w:lang w:val="en-GB"/>
          </w:rPr>
          <w:t>Y</w:t>
        </w:r>
        <w:r w:rsidR="00247621">
          <w:rPr>
            <w:rStyle w:val="Hyperlink"/>
            <w:rFonts w:ascii="Arial" w:hAnsi="Arial" w:cs="Arial"/>
            <w:lang w:val="en-GB"/>
          </w:rPr>
          <w:t xml:space="preserve">ears </w:t>
        </w:r>
        <w:r w:rsidR="00DB1567" w:rsidRPr="00247621">
          <w:rPr>
            <w:rStyle w:val="Hyperlink"/>
            <w:rFonts w:ascii="Arial" w:hAnsi="Arial" w:cs="Arial"/>
            <w:lang w:val="en-GB"/>
          </w:rPr>
          <w:t>F</w:t>
        </w:r>
        <w:r w:rsidR="00247621">
          <w:rPr>
            <w:rStyle w:val="Hyperlink"/>
            <w:rFonts w:ascii="Arial" w:hAnsi="Arial" w:cs="Arial"/>
            <w:lang w:val="en-GB"/>
          </w:rPr>
          <w:t xml:space="preserve">oundation </w:t>
        </w:r>
        <w:r w:rsidR="00DB1567" w:rsidRPr="00247621">
          <w:rPr>
            <w:rStyle w:val="Hyperlink"/>
            <w:rFonts w:ascii="Arial" w:hAnsi="Arial" w:cs="Arial"/>
            <w:lang w:val="en-GB"/>
          </w:rPr>
          <w:t>S</w:t>
        </w:r>
        <w:r w:rsidR="00247621">
          <w:rPr>
            <w:rStyle w:val="Hyperlink"/>
            <w:rFonts w:ascii="Arial" w:hAnsi="Arial" w:cs="Arial"/>
            <w:lang w:val="en-GB"/>
          </w:rPr>
          <w:t>tage (EYFS)</w:t>
        </w:r>
        <w:r w:rsidR="00DB1567" w:rsidRPr="00247621">
          <w:rPr>
            <w:rStyle w:val="Hyperlink"/>
            <w:rFonts w:ascii="Arial" w:hAnsi="Arial" w:cs="Arial"/>
            <w:lang w:val="en-GB"/>
          </w:rPr>
          <w:t xml:space="preserve"> Statutory Framework</w:t>
        </w:r>
      </w:hyperlink>
      <w:r w:rsidR="00247621">
        <w:rPr>
          <w:rFonts w:ascii="Arial" w:hAnsi="Arial" w:cs="Arial"/>
          <w:lang w:val="en-GB"/>
        </w:rPr>
        <w:t>: Safeguarding and Welfare Requirements</w:t>
      </w:r>
      <w:r w:rsidR="00CA6EC1">
        <w:rPr>
          <w:rFonts w:ascii="Arial" w:hAnsi="Arial" w:cs="Arial"/>
          <w:lang w:val="en-GB"/>
        </w:rPr>
        <w:t xml:space="preserve"> applies</w:t>
      </w:r>
      <w:r w:rsidR="00DB1567">
        <w:rPr>
          <w:rFonts w:ascii="Arial" w:hAnsi="Arial" w:cs="Arial"/>
          <w:lang w:val="en-GB"/>
        </w:rPr>
        <w:t xml:space="preserve"> </w:t>
      </w:r>
      <w:r w:rsidR="0094577A">
        <w:rPr>
          <w:rFonts w:ascii="Arial" w:hAnsi="Arial" w:cs="Arial"/>
          <w:lang w:val="en-GB"/>
        </w:rPr>
        <w:t xml:space="preserve">. </w:t>
      </w:r>
    </w:p>
    <w:p w14:paraId="258B09F1" w14:textId="77777777" w:rsidR="00001171" w:rsidRDefault="00001171" w:rsidP="00270D96">
      <w:pPr>
        <w:rPr>
          <w:rFonts w:ascii="Arial" w:hAnsi="Arial" w:cs="Arial"/>
          <w:lang w:val="en-GB"/>
        </w:rPr>
      </w:pPr>
    </w:p>
    <w:p w14:paraId="4319CA38" w14:textId="165A051D" w:rsidR="000C31E1" w:rsidRDefault="0094577A" w:rsidP="00270D9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DSL</w:t>
      </w:r>
      <w:r w:rsidR="00001171">
        <w:rPr>
          <w:rFonts w:ascii="Arial" w:hAnsi="Arial" w:cs="Arial"/>
          <w:lang w:val="en-GB"/>
        </w:rPr>
        <w:t xml:space="preserve"> should consult their setting’s Data Protection Officer </w:t>
      </w:r>
      <w:r w:rsidR="00F5116E">
        <w:rPr>
          <w:rFonts w:ascii="Arial" w:hAnsi="Arial" w:cs="Arial"/>
          <w:lang w:val="en-GB"/>
        </w:rPr>
        <w:t xml:space="preserve">for advice </w:t>
      </w:r>
      <w:r w:rsidR="003E6D6D">
        <w:rPr>
          <w:rFonts w:ascii="Arial" w:hAnsi="Arial" w:cs="Arial"/>
          <w:lang w:val="en-GB"/>
        </w:rPr>
        <w:t>where there is</w:t>
      </w:r>
      <w:r w:rsidR="00F5116E">
        <w:rPr>
          <w:rFonts w:ascii="Arial" w:hAnsi="Arial" w:cs="Arial"/>
          <w:lang w:val="en-GB"/>
        </w:rPr>
        <w:t xml:space="preserve"> any lack of certainty about </w:t>
      </w:r>
      <w:r w:rsidR="00FE2558">
        <w:rPr>
          <w:rFonts w:ascii="Arial" w:hAnsi="Arial" w:cs="Arial"/>
          <w:lang w:val="en-GB"/>
        </w:rPr>
        <w:t>sharing information within the child protection file</w:t>
      </w:r>
      <w:r w:rsidR="00DD4CFD">
        <w:rPr>
          <w:rFonts w:ascii="Arial" w:hAnsi="Arial" w:cs="Arial"/>
          <w:lang w:val="en-GB"/>
        </w:rPr>
        <w:t xml:space="preserve">. </w:t>
      </w:r>
      <w:r w:rsidR="009C4C93">
        <w:rPr>
          <w:rFonts w:ascii="Arial" w:hAnsi="Arial" w:cs="Arial"/>
          <w:lang w:val="en-GB"/>
        </w:rPr>
        <w:t>T</w:t>
      </w:r>
      <w:r w:rsidR="00E66D6A">
        <w:rPr>
          <w:rFonts w:ascii="Arial" w:hAnsi="Arial" w:cs="Arial"/>
          <w:lang w:val="en-GB"/>
        </w:rPr>
        <w:t xml:space="preserve">he </w:t>
      </w:r>
      <w:r w:rsidR="00E66D6A" w:rsidRPr="00E66D6A">
        <w:rPr>
          <w:rFonts w:ascii="Arial" w:hAnsi="Arial" w:cs="Arial"/>
        </w:rPr>
        <w:t>Information Commissioners Office</w:t>
      </w:r>
      <w:r w:rsidR="004B4FCA">
        <w:rPr>
          <w:rFonts w:ascii="Arial" w:hAnsi="Arial" w:cs="Arial"/>
        </w:rPr>
        <w:t xml:space="preserve"> (ICO)</w:t>
      </w:r>
      <w:r w:rsidR="009C4C93">
        <w:rPr>
          <w:rFonts w:ascii="Arial" w:hAnsi="Arial" w:cs="Arial"/>
        </w:rPr>
        <w:t xml:space="preserve"> also provides further </w:t>
      </w:r>
      <w:hyperlink r:id="rId12" w:history="1">
        <w:r w:rsidR="009C4C93" w:rsidRPr="004B4FCA">
          <w:rPr>
            <w:rStyle w:val="Hyperlink"/>
            <w:rFonts w:ascii="Arial" w:hAnsi="Arial" w:cs="Arial"/>
          </w:rPr>
          <w:t>guidance</w:t>
        </w:r>
      </w:hyperlink>
      <w:r w:rsidR="004B4FCA">
        <w:rPr>
          <w:rFonts w:ascii="Arial" w:hAnsi="Arial" w:cs="Arial"/>
        </w:rPr>
        <w:t xml:space="preserve"> and </w:t>
      </w:r>
      <w:r w:rsidR="00E66D6A" w:rsidRPr="00E66D6A">
        <w:rPr>
          <w:rFonts w:ascii="Arial" w:hAnsi="Arial" w:cs="Arial"/>
        </w:rPr>
        <w:t xml:space="preserve"> </w:t>
      </w:r>
      <w:hyperlink r:id="rId13" w:history="1">
        <w:r w:rsidR="00E66D6A" w:rsidRPr="00E66D6A">
          <w:rPr>
            <w:rStyle w:val="Hyperlink"/>
            <w:rFonts w:ascii="Arial" w:hAnsi="Arial" w:cs="Arial"/>
          </w:rPr>
          <w:t>help and support</w:t>
        </w:r>
        <w:r w:rsidR="004B4FCA">
          <w:rPr>
            <w:rStyle w:val="Hyperlink"/>
            <w:rFonts w:ascii="Arial" w:hAnsi="Arial" w:cs="Arial"/>
          </w:rPr>
          <w:t>.</w:t>
        </w:r>
        <w:r w:rsidR="00E66D6A" w:rsidRPr="00E66D6A">
          <w:rPr>
            <w:rStyle w:val="Hyperlink"/>
            <w:rFonts w:ascii="Arial" w:hAnsi="Arial" w:cs="Arial"/>
          </w:rPr>
          <w:t xml:space="preserve"> </w:t>
        </w:r>
      </w:hyperlink>
    </w:p>
    <w:p w14:paraId="2213BB45" w14:textId="77777777" w:rsidR="002E38E3" w:rsidRDefault="002E38E3" w:rsidP="00270D96">
      <w:pPr>
        <w:rPr>
          <w:rFonts w:ascii="Arial" w:hAnsi="Arial" w:cs="Arial"/>
          <w:lang w:val="en-GB"/>
        </w:rPr>
      </w:pPr>
    </w:p>
    <w:p w14:paraId="2AA763F4" w14:textId="1D495A23" w:rsidR="001513A3" w:rsidRDefault="002678D4" w:rsidP="00270D9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Additional</w:t>
      </w:r>
      <w:r w:rsidR="0004799B">
        <w:rPr>
          <w:rFonts w:ascii="Arial" w:hAnsi="Arial" w:cs="Arial"/>
          <w:lang w:val="en-GB"/>
        </w:rPr>
        <w:t xml:space="preserve"> good practice guidance</w:t>
      </w:r>
      <w:r>
        <w:rPr>
          <w:rFonts w:ascii="Arial" w:hAnsi="Arial" w:cs="Arial"/>
          <w:lang w:val="en-GB"/>
        </w:rPr>
        <w:t xml:space="preserve"> is outlined below</w:t>
      </w:r>
      <w:r w:rsidR="00301817">
        <w:rPr>
          <w:rFonts w:ascii="Arial" w:hAnsi="Arial" w:cs="Arial"/>
          <w:lang w:val="en-GB"/>
        </w:rPr>
        <w:t>:</w:t>
      </w:r>
    </w:p>
    <w:p w14:paraId="44969FB0" w14:textId="77777777" w:rsidR="003F45A3" w:rsidRDefault="003F45A3" w:rsidP="00270D96">
      <w:pPr>
        <w:rPr>
          <w:rFonts w:ascii="Arial" w:hAnsi="Arial" w:cs="Arial"/>
          <w:lang w:val="en-GB"/>
        </w:rPr>
      </w:pPr>
    </w:p>
    <w:p w14:paraId="0DB287B2" w14:textId="2A56C861" w:rsidR="001513A3" w:rsidRDefault="002678D4" w:rsidP="002678D4">
      <w:pPr>
        <w:pStyle w:val="Heading3"/>
        <w:rPr>
          <w:rFonts w:ascii="Arial" w:hAnsi="Arial" w:cs="Arial"/>
          <w:b/>
          <w:bCs/>
          <w:lang w:val="en-GB"/>
        </w:rPr>
      </w:pPr>
      <w:r w:rsidRPr="002678D4">
        <w:rPr>
          <w:rFonts w:ascii="Arial" w:hAnsi="Arial" w:cs="Arial"/>
          <w:b/>
          <w:bCs/>
          <w:lang w:val="en-GB"/>
        </w:rPr>
        <w:t>Contents</w:t>
      </w:r>
    </w:p>
    <w:p w14:paraId="432AD20A" w14:textId="0B91BDB1" w:rsidR="003F2DCB" w:rsidRPr="003F2DCB" w:rsidRDefault="003F2DCB" w:rsidP="003F2DCB">
      <w:pPr>
        <w:rPr>
          <w:rFonts w:ascii="Arial" w:hAnsi="Arial" w:cs="Arial"/>
          <w:lang w:val="en-GB"/>
        </w:rPr>
      </w:pPr>
      <w:r w:rsidRPr="003F2DCB">
        <w:rPr>
          <w:rFonts w:ascii="Arial" w:hAnsi="Arial" w:cs="Arial"/>
          <w:lang w:val="en-GB"/>
        </w:rPr>
        <w:t>The child protection file should include:</w:t>
      </w:r>
    </w:p>
    <w:p w14:paraId="00E56F41" w14:textId="5F8A1CCB" w:rsidR="00063AB1" w:rsidRDefault="00063AB1" w:rsidP="001513A3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Basic core details of the child and their family (</w:t>
      </w:r>
      <w:r w:rsidR="00B61F87">
        <w:rPr>
          <w:rFonts w:ascii="Arial" w:hAnsi="Arial" w:cs="Arial"/>
          <w:lang w:val="en-GB"/>
        </w:rPr>
        <w:t>including those with parental responsibility</w:t>
      </w:r>
      <w:r w:rsidR="0059051D">
        <w:rPr>
          <w:rStyle w:val="FootnoteReference"/>
          <w:rFonts w:ascii="Arial" w:hAnsi="Arial" w:cs="Arial"/>
          <w:lang w:val="en-GB"/>
        </w:rPr>
        <w:footnoteReference w:id="7"/>
      </w:r>
      <w:r w:rsidR="00846BE2">
        <w:rPr>
          <w:rFonts w:ascii="Arial" w:hAnsi="Arial" w:cs="Arial"/>
          <w:lang w:val="en-GB"/>
        </w:rPr>
        <w:t xml:space="preserve">; </w:t>
      </w:r>
      <w:r w:rsidR="00B61F87">
        <w:rPr>
          <w:rFonts w:ascii="Arial" w:hAnsi="Arial" w:cs="Arial"/>
          <w:lang w:val="en-GB"/>
        </w:rPr>
        <w:t xml:space="preserve">and any </w:t>
      </w:r>
      <w:r w:rsidR="008D528A">
        <w:rPr>
          <w:rFonts w:ascii="Arial" w:hAnsi="Arial" w:cs="Arial"/>
          <w:lang w:val="en-GB"/>
        </w:rPr>
        <w:t xml:space="preserve">child </w:t>
      </w:r>
      <w:r w:rsidR="00B61F87">
        <w:rPr>
          <w:rFonts w:ascii="Arial" w:hAnsi="Arial" w:cs="Arial"/>
          <w:lang w:val="en-GB"/>
        </w:rPr>
        <w:t>siblings</w:t>
      </w:r>
      <w:r w:rsidR="001E0EA4">
        <w:rPr>
          <w:rFonts w:ascii="Arial" w:hAnsi="Arial" w:cs="Arial"/>
          <w:lang w:val="en-GB"/>
        </w:rPr>
        <w:t xml:space="preserve"> or other significant family members</w:t>
      </w:r>
      <w:r w:rsidR="00B61F87">
        <w:rPr>
          <w:rFonts w:ascii="Arial" w:hAnsi="Arial" w:cs="Arial"/>
          <w:lang w:val="en-GB"/>
        </w:rPr>
        <w:t>)</w:t>
      </w:r>
    </w:p>
    <w:p w14:paraId="64CB28BC" w14:textId="6DD8CDC4" w:rsidR="007A74B1" w:rsidRDefault="00D91598" w:rsidP="001513A3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="001513A3" w:rsidRPr="001513A3">
        <w:rPr>
          <w:rFonts w:ascii="Arial" w:hAnsi="Arial" w:cs="Arial"/>
          <w:lang w:val="en-GB"/>
        </w:rPr>
        <w:t>ll safeguarding concerns, actions, decisions and outcomes that have arisen whilst a child has been on roll in their current or previous education settings. Such files may only contain one concern or an extensive history.</w:t>
      </w:r>
      <w:r w:rsidR="003F4276">
        <w:rPr>
          <w:rFonts w:ascii="Arial" w:hAnsi="Arial" w:cs="Arial"/>
          <w:lang w:val="en-GB"/>
        </w:rPr>
        <w:t xml:space="preserve"> Including:</w:t>
      </w:r>
    </w:p>
    <w:p w14:paraId="0D519B0F" w14:textId="3F14C612" w:rsidR="00195420" w:rsidRDefault="00E20B2F" w:rsidP="003F4276">
      <w:pPr>
        <w:pStyle w:val="ListParagraph"/>
        <w:numPr>
          <w:ilvl w:val="1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Cause for concern forms/logs </w:t>
      </w:r>
      <w:r w:rsidR="005A196C">
        <w:rPr>
          <w:rFonts w:ascii="Arial" w:hAnsi="Arial" w:cs="Arial"/>
          <w:lang w:val="en-GB"/>
        </w:rPr>
        <w:t>(from staff</w:t>
      </w:r>
      <w:r w:rsidR="00B265C0">
        <w:rPr>
          <w:rFonts w:ascii="Arial" w:hAnsi="Arial" w:cs="Arial"/>
          <w:lang w:val="en-GB"/>
        </w:rPr>
        <w:t>/others working at the school</w:t>
      </w:r>
      <w:r w:rsidR="005A196C">
        <w:rPr>
          <w:rFonts w:ascii="Arial" w:hAnsi="Arial" w:cs="Arial"/>
          <w:lang w:val="en-GB"/>
        </w:rPr>
        <w:t>, childre</w:t>
      </w:r>
      <w:r w:rsidR="00FD672B">
        <w:rPr>
          <w:rFonts w:ascii="Arial" w:hAnsi="Arial" w:cs="Arial"/>
          <w:lang w:val="en-GB"/>
        </w:rPr>
        <w:t>n, parents</w:t>
      </w:r>
      <w:r w:rsidR="002452F7">
        <w:rPr>
          <w:rFonts w:ascii="Arial" w:hAnsi="Arial" w:cs="Arial"/>
          <w:lang w:val="en-GB"/>
        </w:rPr>
        <w:t>/carers</w:t>
      </w:r>
      <w:r w:rsidR="00FD672B">
        <w:rPr>
          <w:rFonts w:ascii="Arial" w:hAnsi="Arial" w:cs="Arial"/>
          <w:lang w:val="en-GB"/>
        </w:rPr>
        <w:t>, systems</w:t>
      </w:r>
      <w:r w:rsidR="00B265C0">
        <w:rPr>
          <w:rFonts w:ascii="Arial" w:hAnsi="Arial" w:cs="Arial"/>
          <w:lang w:val="en-GB"/>
        </w:rPr>
        <w:t>, other agencies</w:t>
      </w:r>
      <w:r w:rsidR="00FD17C0">
        <w:rPr>
          <w:rFonts w:ascii="Arial" w:hAnsi="Arial" w:cs="Arial"/>
          <w:lang w:val="en-GB"/>
        </w:rPr>
        <w:t xml:space="preserve">/notification </w:t>
      </w:r>
      <w:r w:rsidR="00DB530E">
        <w:rPr>
          <w:rFonts w:ascii="Arial" w:hAnsi="Arial" w:cs="Arial"/>
          <w:lang w:val="en-GB"/>
        </w:rPr>
        <w:t>protocols,</w:t>
      </w:r>
      <w:r w:rsidR="00FD17C0">
        <w:rPr>
          <w:rFonts w:ascii="Arial" w:hAnsi="Arial" w:cs="Arial"/>
          <w:lang w:val="en-GB"/>
        </w:rPr>
        <w:t xml:space="preserve"> such as Operation Encompass</w:t>
      </w:r>
      <w:r w:rsidR="005A196C">
        <w:rPr>
          <w:rFonts w:ascii="Arial" w:hAnsi="Arial" w:cs="Arial"/>
          <w:lang w:val="en-GB"/>
        </w:rPr>
        <w:t>)</w:t>
      </w:r>
      <w:r w:rsidR="00B265C0">
        <w:rPr>
          <w:rFonts w:ascii="Arial" w:hAnsi="Arial" w:cs="Arial"/>
          <w:lang w:val="en-GB"/>
        </w:rPr>
        <w:t>.</w:t>
      </w:r>
      <w:r w:rsidR="00423FD4">
        <w:rPr>
          <w:rFonts w:ascii="Arial" w:hAnsi="Arial" w:cs="Arial"/>
          <w:lang w:val="en-GB"/>
        </w:rPr>
        <w:t xml:space="preserve"> </w:t>
      </w:r>
    </w:p>
    <w:p w14:paraId="031FB1AA" w14:textId="6D2D9BC4" w:rsidR="00884948" w:rsidRDefault="00884948" w:rsidP="003F4276">
      <w:pPr>
        <w:pStyle w:val="ListParagraph"/>
        <w:numPr>
          <w:ilvl w:val="1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Any behaviour logs</w:t>
      </w:r>
      <w:r w:rsidR="00993D6D">
        <w:rPr>
          <w:rFonts w:ascii="Arial" w:hAnsi="Arial" w:cs="Arial"/>
          <w:lang w:val="en-GB"/>
        </w:rPr>
        <w:t xml:space="preserve"> (if not already recorded on the child’s safeguarding file)</w:t>
      </w:r>
      <w:r>
        <w:rPr>
          <w:rFonts w:ascii="Arial" w:hAnsi="Arial" w:cs="Arial"/>
          <w:lang w:val="en-GB"/>
        </w:rPr>
        <w:t xml:space="preserve"> which indicates </w:t>
      </w:r>
      <w:r w:rsidR="00FC0EC4">
        <w:rPr>
          <w:rFonts w:ascii="Arial" w:hAnsi="Arial" w:cs="Arial"/>
          <w:lang w:val="en-GB"/>
        </w:rPr>
        <w:t xml:space="preserve">a significant level of concern and/or </w:t>
      </w:r>
      <w:r>
        <w:rPr>
          <w:rFonts w:ascii="Arial" w:hAnsi="Arial" w:cs="Arial"/>
          <w:lang w:val="en-GB"/>
        </w:rPr>
        <w:t xml:space="preserve">that the child </w:t>
      </w:r>
      <w:r w:rsidR="00993D6D">
        <w:rPr>
          <w:rFonts w:ascii="Arial" w:hAnsi="Arial" w:cs="Arial"/>
          <w:lang w:val="en-GB"/>
        </w:rPr>
        <w:t>may pose a risk of harm to other</w:t>
      </w:r>
      <w:r w:rsidR="007F3EBE">
        <w:rPr>
          <w:rFonts w:ascii="Arial" w:hAnsi="Arial" w:cs="Arial"/>
          <w:lang w:val="en-GB"/>
        </w:rPr>
        <w:t xml:space="preserve"> children. </w:t>
      </w:r>
    </w:p>
    <w:p w14:paraId="5BB91D39" w14:textId="5840BADF" w:rsidR="00BD02DC" w:rsidRDefault="009B7403" w:rsidP="003F4276">
      <w:pPr>
        <w:pStyle w:val="ListParagraph"/>
        <w:numPr>
          <w:ilvl w:val="1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Any </w:t>
      </w:r>
      <w:r w:rsidR="00776B1F">
        <w:rPr>
          <w:rFonts w:ascii="Arial" w:hAnsi="Arial" w:cs="Arial"/>
          <w:lang w:val="en-GB"/>
        </w:rPr>
        <w:t xml:space="preserve">attendance </w:t>
      </w:r>
      <w:r w:rsidR="002C7032">
        <w:rPr>
          <w:rFonts w:ascii="Arial" w:hAnsi="Arial" w:cs="Arial"/>
          <w:lang w:val="en-GB"/>
        </w:rPr>
        <w:t>logs/concerns</w:t>
      </w:r>
      <w:r w:rsidR="00732ED4">
        <w:rPr>
          <w:rFonts w:ascii="Arial" w:hAnsi="Arial" w:cs="Arial"/>
          <w:lang w:val="en-GB"/>
        </w:rPr>
        <w:t xml:space="preserve"> which trigger</w:t>
      </w:r>
      <w:r w:rsidR="007712A0">
        <w:rPr>
          <w:rFonts w:ascii="Arial" w:hAnsi="Arial" w:cs="Arial"/>
          <w:lang w:val="en-GB"/>
        </w:rPr>
        <w:t xml:space="preserve"> involvement of/contact with Education Welfare Officers or indicate</w:t>
      </w:r>
      <w:r w:rsidR="00A061FA">
        <w:rPr>
          <w:rFonts w:ascii="Arial" w:hAnsi="Arial" w:cs="Arial"/>
          <w:lang w:val="en-GB"/>
        </w:rPr>
        <w:t xml:space="preserve"> concerns about</w:t>
      </w:r>
      <w:r w:rsidR="007712A0">
        <w:rPr>
          <w:rFonts w:ascii="Arial" w:hAnsi="Arial" w:cs="Arial"/>
          <w:lang w:val="en-GB"/>
        </w:rPr>
        <w:t xml:space="preserve"> </w:t>
      </w:r>
      <w:r w:rsidR="00A00B4A">
        <w:rPr>
          <w:rFonts w:ascii="Arial" w:hAnsi="Arial" w:cs="Arial"/>
          <w:lang w:val="en-GB"/>
        </w:rPr>
        <w:t>e</w:t>
      </w:r>
      <w:r w:rsidR="007712A0">
        <w:rPr>
          <w:rFonts w:ascii="Arial" w:hAnsi="Arial" w:cs="Arial"/>
          <w:lang w:val="en-GB"/>
        </w:rPr>
        <w:t xml:space="preserve">ducational </w:t>
      </w:r>
      <w:r w:rsidR="00A00B4A">
        <w:rPr>
          <w:rFonts w:ascii="Arial" w:hAnsi="Arial" w:cs="Arial"/>
          <w:lang w:val="en-GB"/>
        </w:rPr>
        <w:t>n</w:t>
      </w:r>
      <w:r w:rsidR="007712A0">
        <w:rPr>
          <w:rFonts w:ascii="Arial" w:hAnsi="Arial" w:cs="Arial"/>
          <w:lang w:val="en-GB"/>
        </w:rPr>
        <w:t>eglect.</w:t>
      </w:r>
      <w:r w:rsidR="00091420">
        <w:rPr>
          <w:rStyle w:val="FootnoteReference"/>
          <w:rFonts w:ascii="Arial" w:hAnsi="Arial" w:cs="Arial"/>
          <w:lang w:val="en-GB"/>
        </w:rPr>
        <w:footnoteReference w:id="8"/>
      </w:r>
    </w:p>
    <w:p w14:paraId="7536B478" w14:textId="504EBE34" w:rsidR="003F4276" w:rsidRPr="00EB7B12" w:rsidRDefault="00195420" w:rsidP="003F4276">
      <w:pPr>
        <w:pStyle w:val="ListParagraph"/>
        <w:numPr>
          <w:ilvl w:val="1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Records of communication</w:t>
      </w:r>
      <w:r w:rsidR="002452F7">
        <w:rPr>
          <w:rFonts w:ascii="Arial" w:hAnsi="Arial" w:cs="Arial"/>
          <w:lang w:val="en-GB"/>
        </w:rPr>
        <w:t xml:space="preserve">s </w:t>
      </w:r>
      <w:r w:rsidR="003A5943">
        <w:rPr>
          <w:rFonts w:ascii="Arial" w:hAnsi="Arial" w:cs="Arial"/>
          <w:lang w:val="en-GB"/>
        </w:rPr>
        <w:t xml:space="preserve">relating to safeguarding concerns </w:t>
      </w:r>
      <w:r w:rsidR="002452F7" w:rsidRPr="002452F7">
        <w:rPr>
          <w:rFonts w:ascii="Arial" w:hAnsi="Arial" w:cs="Arial"/>
        </w:rPr>
        <w:t>(phone calls, emails and meetings) to parents/carers/colleagues/</w:t>
      </w:r>
      <w:r w:rsidR="006C5A8C">
        <w:rPr>
          <w:rFonts w:ascii="Arial" w:hAnsi="Arial" w:cs="Arial"/>
        </w:rPr>
        <w:t>other agencies</w:t>
      </w:r>
      <w:r w:rsidR="00EB7B12">
        <w:rPr>
          <w:rFonts w:ascii="Arial" w:hAnsi="Arial" w:cs="Arial"/>
        </w:rPr>
        <w:t>.</w:t>
      </w:r>
    </w:p>
    <w:p w14:paraId="2FD74E0B" w14:textId="3A641FB3" w:rsidR="00003DB0" w:rsidRPr="00003DB0" w:rsidRDefault="00003DB0" w:rsidP="003F4276">
      <w:pPr>
        <w:pStyle w:val="ListParagraph"/>
        <w:numPr>
          <w:ilvl w:val="1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Referrals</w:t>
      </w:r>
      <w:r w:rsidR="003C58AD">
        <w:rPr>
          <w:rFonts w:ascii="Arial" w:hAnsi="Arial" w:cs="Arial"/>
          <w:lang w:val="en-GB"/>
        </w:rPr>
        <w:t>/reports</w:t>
      </w:r>
      <w:r>
        <w:rPr>
          <w:rFonts w:ascii="Arial" w:hAnsi="Arial" w:cs="Arial"/>
          <w:lang w:val="en-GB"/>
        </w:rPr>
        <w:t xml:space="preserve"> and requests for additional support</w:t>
      </w:r>
      <w:r w:rsidR="00801A60">
        <w:rPr>
          <w:rFonts w:ascii="Arial" w:hAnsi="Arial" w:cs="Arial"/>
          <w:lang w:val="en-GB"/>
        </w:rPr>
        <w:t xml:space="preserve">; such as for an Early Help Service; Children’s Social Care or Police. </w:t>
      </w:r>
    </w:p>
    <w:p w14:paraId="3517C1FF" w14:textId="559E2AA8" w:rsidR="00EB7B12" w:rsidRPr="00DB38E2" w:rsidRDefault="00EB7B12" w:rsidP="003F4276">
      <w:pPr>
        <w:pStyle w:val="ListParagraph"/>
        <w:numPr>
          <w:ilvl w:val="1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t>Minutes of any multi-agency meeting</w:t>
      </w:r>
      <w:r w:rsidR="00503523">
        <w:rPr>
          <w:rFonts w:ascii="Arial" w:hAnsi="Arial" w:cs="Arial"/>
        </w:rPr>
        <w:t>s</w:t>
      </w:r>
      <w:r w:rsidR="003A5943">
        <w:rPr>
          <w:rFonts w:ascii="Arial" w:hAnsi="Arial" w:cs="Arial"/>
        </w:rPr>
        <w:t xml:space="preserve"> related t</w:t>
      </w:r>
      <w:r w:rsidR="00DB38E2">
        <w:rPr>
          <w:rFonts w:ascii="Arial" w:hAnsi="Arial" w:cs="Arial"/>
        </w:rPr>
        <w:t>o safeguarding</w:t>
      </w:r>
      <w:r>
        <w:rPr>
          <w:rFonts w:ascii="Arial" w:hAnsi="Arial" w:cs="Arial"/>
        </w:rPr>
        <w:t xml:space="preserve"> (including </w:t>
      </w:r>
      <w:r w:rsidR="00503523">
        <w:rPr>
          <w:rFonts w:ascii="Arial" w:hAnsi="Arial" w:cs="Arial"/>
        </w:rPr>
        <w:t>any Children Social Care Statutory Meetings and core groups)</w:t>
      </w:r>
    </w:p>
    <w:p w14:paraId="1809DDB5" w14:textId="66C2C53C" w:rsidR="00DB38E2" w:rsidRDefault="00DB38E2" w:rsidP="003F4276">
      <w:pPr>
        <w:pStyle w:val="ListParagraph"/>
        <w:numPr>
          <w:ilvl w:val="1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t>Assessments</w:t>
      </w:r>
      <w:r w:rsidR="00D83F66">
        <w:rPr>
          <w:rFonts w:ascii="Arial" w:hAnsi="Arial" w:cs="Arial"/>
        </w:rPr>
        <w:t xml:space="preserve"> and Plans</w:t>
      </w:r>
      <w:r>
        <w:rPr>
          <w:rFonts w:ascii="Arial" w:hAnsi="Arial" w:cs="Arial"/>
        </w:rPr>
        <w:t xml:space="preserve"> (including </w:t>
      </w:r>
      <w:r w:rsidR="00D83F66">
        <w:rPr>
          <w:rFonts w:ascii="Arial" w:hAnsi="Arial" w:cs="Arial"/>
        </w:rPr>
        <w:t xml:space="preserve">those conducted internally or </w:t>
      </w:r>
      <w:r w:rsidR="001D59E2">
        <w:rPr>
          <w:rFonts w:ascii="Arial" w:hAnsi="Arial" w:cs="Arial"/>
        </w:rPr>
        <w:t>as part of multi-agency safeguarding processes)</w:t>
      </w:r>
    </w:p>
    <w:p w14:paraId="57E6F162" w14:textId="3ED4FD6C" w:rsidR="00552745" w:rsidRPr="000948F8" w:rsidRDefault="00552745" w:rsidP="001513A3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="00AB45B4">
        <w:rPr>
          <w:rFonts w:ascii="Arial" w:hAnsi="Arial" w:cs="Arial"/>
          <w:lang w:val="en-GB"/>
        </w:rPr>
        <w:t xml:space="preserve"> Significant</w:t>
      </w:r>
      <w:r w:rsidR="00D91598">
        <w:rPr>
          <w:rFonts w:ascii="Arial" w:hAnsi="Arial" w:cs="Arial"/>
          <w:lang w:val="en-GB"/>
        </w:rPr>
        <w:t>/Key</w:t>
      </w:r>
      <w:r w:rsidR="00AB45B4">
        <w:rPr>
          <w:rFonts w:ascii="Arial" w:hAnsi="Arial" w:cs="Arial"/>
          <w:lang w:val="en-GB"/>
        </w:rPr>
        <w:t xml:space="preserve"> Event Chronology (</w:t>
      </w:r>
      <w:r w:rsidR="00E20029">
        <w:rPr>
          <w:rFonts w:ascii="Arial" w:hAnsi="Arial" w:cs="Arial"/>
          <w:lang w:val="en-GB"/>
        </w:rPr>
        <w:t>SSCP Single and Multi-Agency Chronology</w:t>
      </w:r>
      <w:r w:rsidR="00AB45B4">
        <w:rPr>
          <w:rFonts w:ascii="Arial" w:hAnsi="Arial" w:cs="Arial"/>
          <w:lang w:val="en-GB"/>
        </w:rPr>
        <w:t xml:space="preserve"> guidance is available at </w:t>
      </w:r>
      <w:hyperlink r:id="rId14" w:history="1">
        <w:r w:rsidR="00843DBB" w:rsidRPr="00C801FF">
          <w:rPr>
            <w:rStyle w:val="Hyperlink"/>
            <w:rFonts w:ascii="Arial" w:hAnsi="Arial" w:cs="Arial"/>
          </w:rPr>
          <w:t>SSCP Thresholds guidance</w:t>
        </w:r>
      </w:hyperlink>
      <w:r w:rsidR="00C801FF">
        <w:rPr>
          <w:rFonts w:ascii="Arial" w:hAnsi="Arial" w:cs="Arial"/>
        </w:rPr>
        <w:t>)</w:t>
      </w:r>
      <w:r w:rsidR="00843DBB" w:rsidRPr="00C801FF">
        <w:rPr>
          <w:rFonts w:ascii="Arial" w:hAnsi="Arial" w:cs="Arial"/>
        </w:rPr>
        <w:t xml:space="preserve"> </w:t>
      </w:r>
    </w:p>
    <w:p w14:paraId="6022729C" w14:textId="77777777" w:rsidR="000948F8" w:rsidRDefault="000948F8" w:rsidP="000948F8">
      <w:pPr>
        <w:rPr>
          <w:rFonts w:ascii="Arial" w:hAnsi="Arial" w:cs="Arial"/>
          <w:lang w:val="en-GB"/>
        </w:rPr>
      </w:pPr>
    </w:p>
    <w:p w14:paraId="26D8F4C9" w14:textId="77777777" w:rsidR="000948F8" w:rsidRPr="000948F8" w:rsidRDefault="000948F8" w:rsidP="000948F8">
      <w:pPr>
        <w:rPr>
          <w:rFonts w:ascii="Arial" w:hAnsi="Arial" w:cs="Arial"/>
          <w:lang w:val="en-GB"/>
        </w:rPr>
      </w:pPr>
    </w:p>
    <w:p w14:paraId="0815A452" w14:textId="7DD1F56A" w:rsidR="007A74B1" w:rsidRDefault="00FA1754" w:rsidP="00FA1754">
      <w:pPr>
        <w:pStyle w:val="Heading3"/>
        <w:rPr>
          <w:rFonts w:ascii="Arial" w:hAnsi="Arial" w:cs="Arial"/>
          <w:b/>
          <w:bCs/>
          <w:lang w:val="en-GB"/>
        </w:rPr>
      </w:pPr>
      <w:bookmarkStart w:id="3" w:name="_Transfer_of_the"/>
      <w:bookmarkEnd w:id="3"/>
      <w:r w:rsidRPr="00FA1754">
        <w:rPr>
          <w:rFonts w:ascii="Arial" w:hAnsi="Arial" w:cs="Arial"/>
          <w:b/>
          <w:bCs/>
          <w:lang w:val="en-GB"/>
        </w:rPr>
        <w:t>Transfer</w:t>
      </w:r>
      <w:r w:rsidR="0026659C">
        <w:rPr>
          <w:rFonts w:ascii="Arial" w:hAnsi="Arial" w:cs="Arial"/>
          <w:b/>
          <w:bCs/>
          <w:lang w:val="en-GB"/>
        </w:rPr>
        <w:t xml:space="preserve"> of the child protection file</w:t>
      </w:r>
    </w:p>
    <w:p w14:paraId="1C2BDB88" w14:textId="5BBE8019" w:rsidR="001B4849" w:rsidRDefault="007003C0" w:rsidP="007003C0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E313D7">
        <w:rPr>
          <w:rFonts w:ascii="Arial" w:hAnsi="Arial" w:cs="Arial"/>
          <w:lang w:val="en-GB"/>
        </w:rPr>
        <w:t>Can only take place once a child</w:t>
      </w:r>
      <w:r w:rsidR="000849F2" w:rsidRPr="00E313D7">
        <w:rPr>
          <w:rFonts w:ascii="Arial" w:hAnsi="Arial" w:cs="Arial"/>
          <w:lang w:val="en-GB"/>
        </w:rPr>
        <w:t xml:space="preserve"> </w:t>
      </w:r>
      <w:r w:rsidR="00E313D7" w:rsidRPr="00E313D7">
        <w:rPr>
          <w:rFonts w:ascii="Arial" w:hAnsi="Arial" w:cs="Arial"/>
          <w:lang w:val="en-GB"/>
        </w:rPr>
        <w:t xml:space="preserve">has been formally placed on the education settings </w:t>
      </w:r>
      <w:r w:rsidR="00E313D7">
        <w:rPr>
          <w:rFonts w:ascii="Arial" w:hAnsi="Arial" w:cs="Arial"/>
          <w:lang w:val="en-GB"/>
        </w:rPr>
        <w:t>register/admissions role</w:t>
      </w:r>
      <w:r w:rsidR="00E313D7" w:rsidRPr="00E313D7">
        <w:rPr>
          <w:rFonts w:ascii="Arial" w:hAnsi="Arial" w:cs="Arial"/>
          <w:lang w:val="en-GB"/>
        </w:rPr>
        <w:t xml:space="preserve"> </w:t>
      </w:r>
      <w:r w:rsidR="007F3EBE">
        <w:rPr>
          <w:rFonts w:ascii="Arial" w:hAnsi="Arial" w:cs="Arial"/>
          <w:lang w:val="en-GB"/>
        </w:rPr>
        <w:t>and/</w:t>
      </w:r>
      <w:r w:rsidR="00E313D7" w:rsidRPr="00E313D7">
        <w:rPr>
          <w:rFonts w:ascii="Arial" w:hAnsi="Arial" w:cs="Arial"/>
          <w:lang w:val="en-GB"/>
        </w:rPr>
        <w:t xml:space="preserve">or </w:t>
      </w:r>
      <w:r w:rsidR="00DD6B56">
        <w:rPr>
          <w:rFonts w:ascii="Arial" w:hAnsi="Arial" w:cs="Arial"/>
          <w:lang w:val="en-GB"/>
        </w:rPr>
        <w:t xml:space="preserve">once </w:t>
      </w:r>
      <w:r w:rsidR="00E313D7" w:rsidRPr="00E313D7">
        <w:rPr>
          <w:rFonts w:ascii="Arial" w:hAnsi="Arial" w:cs="Arial"/>
          <w:lang w:val="en-GB"/>
        </w:rPr>
        <w:t xml:space="preserve">there is a statutory duty to notify </w:t>
      </w:r>
      <w:r w:rsidR="00A25B35">
        <w:rPr>
          <w:rFonts w:ascii="Arial" w:hAnsi="Arial" w:cs="Arial"/>
          <w:lang w:val="en-GB"/>
        </w:rPr>
        <w:t xml:space="preserve">or work with </w:t>
      </w:r>
      <w:r w:rsidR="00E313D7" w:rsidRPr="00E313D7">
        <w:rPr>
          <w:rFonts w:ascii="Arial" w:hAnsi="Arial" w:cs="Arial"/>
          <w:lang w:val="en-GB"/>
        </w:rPr>
        <w:t>the Local Authority</w:t>
      </w:r>
      <w:r w:rsidR="0073198F">
        <w:rPr>
          <w:rFonts w:ascii="Arial" w:hAnsi="Arial" w:cs="Arial"/>
          <w:lang w:val="en-GB"/>
        </w:rPr>
        <w:t xml:space="preserve"> in the area that the child resides</w:t>
      </w:r>
      <w:r w:rsidR="00E313D7" w:rsidRPr="00E313D7">
        <w:rPr>
          <w:rFonts w:ascii="Arial" w:hAnsi="Arial" w:cs="Arial"/>
          <w:lang w:val="en-GB"/>
        </w:rPr>
        <w:t xml:space="preserve">. </w:t>
      </w:r>
      <w:r w:rsidR="001813A1">
        <w:rPr>
          <w:rFonts w:ascii="Arial" w:hAnsi="Arial" w:cs="Arial"/>
          <w:lang w:val="en-GB"/>
        </w:rPr>
        <w:t>Statutory duties</w:t>
      </w:r>
      <w:r w:rsidR="00E06F37">
        <w:rPr>
          <w:rFonts w:ascii="Arial" w:hAnsi="Arial" w:cs="Arial"/>
          <w:lang w:val="en-GB"/>
        </w:rPr>
        <w:t>/Local Processes and Protocol</w:t>
      </w:r>
      <w:r w:rsidR="004E4CC2">
        <w:rPr>
          <w:rFonts w:ascii="Arial" w:hAnsi="Arial" w:cs="Arial"/>
          <w:lang w:val="en-GB"/>
        </w:rPr>
        <w:t>s</w:t>
      </w:r>
      <w:r w:rsidR="001813A1">
        <w:rPr>
          <w:rFonts w:ascii="Arial" w:hAnsi="Arial" w:cs="Arial"/>
          <w:lang w:val="en-GB"/>
        </w:rPr>
        <w:t xml:space="preserve"> to notify the Local Authority include:</w:t>
      </w:r>
    </w:p>
    <w:p w14:paraId="461EB122" w14:textId="3EC48A38" w:rsidR="00652764" w:rsidRDefault="00652764" w:rsidP="001813A1">
      <w:pPr>
        <w:pStyle w:val="ListParagraph"/>
        <w:numPr>
          <w:ilvl w:val="1"/>
          <w:numId w:val="15"/>
        </w:numPr>
        <w:rPr>
          <w:rFonts w:ascii="Arial" w:hAnsi="Arial" w:cs="Arial"/>
          <w:lang w:val="en-GB"/>
        </w:rPr>
      </w:pPr>
      <w:hyperlink r:id="rId15" w:anchor=":~:text=The%20Education%20(Pupil%20Registration)%20(Amendment)%20(England)" w:history="1">
        <w:r w:rsidRPr="00652764">
          <w:rPr>
            <w:rStyle w:val="Hyperlink"/>
            <w:rFonts w:ascii="Arial" w:hAnsi="Arial" w:cs="Arial"/>
          </w:rPr>
          <w:t>The Education (Pupil Registration) (England) Regulations 2006 (legislation.gov.uk)</w:t>
        </w:r>
      </w:hyperlink>
      <w:r w:rsidR="00855E47">
        <w:rPr>
          <w:rFonts w:ascii="Arial" w:hAnsi="Arial" w:cs="Arial"/>
          <w:lang w:val="en-GB"/>
        </w:rPr>
        <w:t xml:space="preserve"> </w:t>
      </w:r>
      <w:r w:rsidR="000B731F">
        <w:rPr>
          <w:rStyle w:val="FootnoteReference"/>
          <w:rFonts w:ascii="Arial" w:hAnsi="Arial" w:cs="Arial"/>
          <w:color w:val="0000FF" w:themeColor="hyperlink"/>
          <w:u w:val="single"/>
        </w:rPr>
        <w:footnoteReference w:id="9"/>
      </w:r>
    </w:p>
    <w:p w14:paraId="1F5FDE0B" w14:textId="4996F1BC" w:rsidR="001813A1" w:rsidRDefault="001813A1" w:rsidP="001813A1">
      <w:pPr>
        <w:pStyle w:val="ListParagraph"/>
        <w:numPr>
          <w:ilvl w:val="1"/>
          <w:numId w:val="15"/>
        </w:numPr>
        <w:rPr>
          <w:rFonts w:ascii="Arial" w:hAnsi="Arial" w:cs="Arial"/>
          <w:lang w:val="en-GB"/>
        </w:rPr>
      </w:pPr>
      <w:hyperlink r:id="rId16" w:history="1">
        <w:r w:rsidRPr="00A824DE">
          <w:rPr>
            <w:rStyle w:val="Hyperlink"/>
            <w:rFonts w:ascii="Arial" w:hAnsi="Arial" w:cs="Arial"/>
            <w:lang w:val="en-GB"/>
          </w:rPr>
          <w:t>Admissions</w:t>
        </w:r>
      </w:hyperlink>
      <w:r w:rsidR="003A469F">
        <w:rPr>
          <w:rFonts w:ascii="Arial" w:hAnsi="Arial" w:cs="Arial"/>
          <w:lang w:val="en-GB"/>
        </w:rPr>
        <w:t xml:space="preserve">/ </w:t>
      </w:r>
      <w:hyperlink r:id="rId17" w:history="1">
        <w:r w:rsidR="00D53B31" w:rsidRPr="00D53B31">
          <w:rPr>
            <w:rStyle w:val="Hyperlink"/>
            <w:rFonts w:ascii="Arial" w:hAnsi="Arial" w:cs="Arial"/>
          </w:rPr>
          <w:t xml:space="preserve">In-Year Application Process | Shropshire Learning Gateway </w:t>
        </w:r>
      </w:hyperlink>
    </w:p>
    <w:p w14:paraId="3730CDD6" w14:textId="5FEDCE21" w:rsidR="0070383A" w:rsidRDefault="005C009D" w:rsidP="00F41526">
      <w:pPr>
        <w:pStyle w:val="ListParagraph"/>
        <w:numPr>
          <w:ilvl w:val="1"/>
          <w:numId w:val="15"/>
        </w:numPr>
        <w:rPr>
          <w:rFonts w:ascii="Arial" w:hAnsi="Arial" w:cs="Arial"/>
          <w:lang w:val="en-GB"/>
        </w:rPr>
      </w:pPr>
      <w:hyperlink r:id="rId18" w:history="1">
        <w:r w:rsidRPr="0070383A">
          <w:rPr>
            <w:rStyle w:val="Hyperlink"/>
            <w:rFonts w:ascii="Arial" w:hAnsi="Arial" w:cs="Arial"/>
            <w:lang w:val="en-GB"/>
          </w:rPr>
          <w:t>Attendance</w:t>
        </w:r>
      </w:hyperlink>
      <w:r w:rsidR="00D53B31">
        <w:rPr>
          <w:rFonts w:ascii="Arial" w:hAnsi="Arial" w:cs="Arial"/>
          <w:lang w:val="en-GB"/>
        </w:rPr>
        <w:t>/</w:t>
      </w:r>
      <w:hyperlink r:id="rId19" w:history="1">
        <w:r w:rsidR="00B13530" w:rsidRPr="00B13530">
          <w:rPr>
            <w:rStyle w:val="Hyperlink"/>
            <w:rFonts w:ascii="Arial" w:hAnsi="Arial" w:cs="Arial"/>
          </w:rPr>
          <w:t xml:space="preserve">Attendance | Shropshire Learning Gateway </w:t>
        </w:r>
      </w:hyperlink>
      <w:r w:rsidR="0070383A" w:rsidRPr="0070383A">
        <w:rPr>
          <w:rFonts w:ascii="Arial" w:hAnsi="Arial" w:cs="Arial"/>
          <w:lang w:val="en-GB"/>
        </w:rPr>
        <w:t xml:space="preserve"> and </w:t>
      </w:r>
      <w:hyperlink r:id="rId20" w:history="1">
        <w:r w:rsidR="0070383A" w:rsidRPr="003D18D0">
          <w:rPr>
            <w:rStyle w:val="Hyperlink"/>
            <w:rFonts w:ascii="Arial" w:hAnsi="Arial" w:cs="Arial"/>
            <w:lang w:val="en-GB"/>
          </w:rPr>
          <w:t>Children Missing Education</w:t>
        </w:r>
      </w:hyperlink>
      <w:r w:rsidR="00B13530">
        <w:rPr>
          <w:rFonts w:ascii="Arial" w:hAnsi="Arial" w:cs="Arial"/>
          <w:lang w:val="en-GB"/>
        </w:rPr>
        <w:t>/</w:t>
      </w:r>
      <w:hyperlink r:id="rId21" w:history="1">
        <w:r w:rsidR="007F5C0F" w:rsidRPr="007F5C0F">
          <w:rPr>
            <w:rStyle w:val="Hyperlink"/>
            <w:rFonts w:ascii="Arial" w:hAnsi="Arial" w:cs="Arial"/>
          </w:rPr>
          <w:t xml:space="preserve">Children Missing Education | Shropshire Learning Gateway </w:t>
        </w:r>
      </w:hyperlink>
      <w:r w:rsidRPr="0070383A">
        <w:rPr>
          <w:rFonts w:ascii="Arial" w:hAnsi="Arial" w:cs="Arial"/>
          <w:lang w:val="en-GB"/>
        </w:rPr>
        <w:t xml:space="preserve"> </w:t>
      </w:r>
    </w:p>
    <w:p w14:paraId="18B5A74E" w14:textId="047D23BE" w:rsidR="005C009D" w:rsidRPr="0070383A" w:rsidRDefault="002A75EE" w:rsidP="00F41526">
      <w:pPr>
        <w:pStyle w:val="ListParagraph"/>
        <w:numPr>
          <w:ilvl w:val="1"/>
          <w:numId w:val="15"/>
        </w:numPr>
        <w:rPr>
          <w:rFonts w:ascii="Arial" w:hAnsi="Arial" w:cs="Arial"/>
          <w:lang w:val="en-GB"/>
        </w:rPr>
      </w:pPr>
      <w:hyperlink r:id="rId22" w:history="1">
        <w:r w:rsidRPr="003D18D0">
          <w:rPr>
            <w:rStyle w:val="Hyperlink"/>
            <w:rFonts w:ascii="Arial" w:hAnsi="Arial" w:cs="Arial"/>
            <w:lang w:val="en-GB"/>
          </w:rPr>
          <w:t>Exclusion</w:t>
        </w:r>
      </w:hyperlink>
      <w:r w:rsidR="007F5C0F">
        <w:rPr>
          <w:rFonts w:ascii="Arial" w:hAnsi="Arial" w:cs="Arial"/>
          <w:lang w:val="en-GB"/>
        </w:rPr>
        <w:t>/</w:t>
      </w:r>
      <w:hyperlink r:id="rId23" w:history="1">
        <w:r w:rsidR="007F5C0F" w:rsidRPr="007F5C0F">
          <w:rPr>
            <w:rStyle w:val="Hyperlink"/>
            <w:rFonts w:ascii="Arial" w:hAnsi="Arial" w:cs="Arial"/>
          </w:rPr>
          <w:t xml:space="preserve">Exclusion | Shropshire Learning Gateway </w:t>
        </w:r>
      </w:hyperlink>
    </w:p>
    <w:p w14:paraId="215973C4" w14:textId="27B38AA0" w:rsidR="002A75EE" w:rsidRDefault="002A75EE" w:rsidP="001813A1">
      <w:pPr>
        <w:pStyle w:val="ListParagraph"/>
        <w:numPr>
          <w:ilvl w:val="1"/>
          <w:numId w:val="15"/>
        </w:numPr>
        <w:rPr>
          <w:rFonts w:ascii="Arial" w:hAnsi="Arial" w:cs="Arial"/>
          <w:lang w:val="en-GB"/>
        </w:rPr>
      </w:pPr>
      <w:hyperlink r:id="rId24" w:history="1">
        <w:r w:rsidRPr="003A469F">
          <w:rPr>
            <w:rStyle w:val="Hyperlink"/>
            <w:rFonts w:ascii="Arial" w:hAnsi="Arial" w:cs="Arial"/>
            <w:lang w:val="en-GB"/>
          </w:rPr>
          <w:t>Elective Home Education</w:t>
        </w:r>
      </w:hyperlink>
      <w:r w:rsidR="00CD4293">
        <w:rPr>
          <w:rFonts w:ascii="Arial" w:hAnsi="Arial" w:cs="Arial"/>
          <w:lang w:val="en-GB"/>
        </w:rPr>
        <w:t>/</w:t>
      </w:r>
      <w:hyperlink r:id="rId25" w:history="1">
        <w:r w:rsidR="00CD4293" w:rsidRPr="00CD4293">
          <w:rPr>
            <w:rStyle w:val="Hyperlink"/>
            <w:rFonts w:ascii="Arial" w:hAnsi="Arial" w:cs="Arial"/>
          </w:rPr>
          <w:t xml:space="preserve">Elective Home Education | Shropshire Learning Gateway </w:t>
        </w:r>
      </w:hyperlink>
    </w:p>
    <w:p w14:paraId="2AEDFC7E" w14:textId="462440D3" w:rsidR="00EE6422" w:rsidRDefault="00E64FDB" w:rsidP="001813A1">
      <w:pPr>
        <w:pStyle w:val="ListParagraph"/>
        <w:numPr>
          <w:ilvl w:val="1"/>
          <w:numId w:val="15"/>
        </w:numPr>
        <w:rPr>
          <w:rFonts w:ascii="Arial" w:hAnsi="Arial" w:cs="Arial"/>
          <w:lang w:val="en-GB"/>
        </w:rPr>
      </w:pPr>
      <w:hyperlink r:id="rId26" w:history="1">
        <w:r w:rsidRPr="009D01C9">
          <w:rPr>
            <w:rStyle w:val="Hyperlink"/>
            <w:rFonts w:ascii="Arial" w:hAnsi="Arial" w:cs="Arial"/>
            <w:lang w:val="en-GB"/>
          </w:rPr>
          <w:t>Post 16 Participation</w:t>
        </w:r>
      </w:hyperlink>
      <w:r w:rsidR="009D01C9">
        <w:rPr>
          <w:rFonts w:ascii="Arial" w:hAnsi="Arial" w:cs="Arial"/>
          <w:lang w:val="en-GB"/>
        </w:rPr>
        <w:t xml:space="preserve">/ </w:t>
      </w:r>
      <w:hyperlink r:id="rId27" w:history="1">
        <w:r w:rsidR="006645C3" w:rsidRPr="006645C3">
          <w:rPr>
            <w:rStyle w:val="Hyperlink"/>
            <w:rFonts w:ascii="Arial" w:hAnsi="Arial" w:cs="Arial"/>
          </w:rPr>
          <w:t xml:space="preserve">Post-16 | Shropshire Learning Gateway </w:t>
        </w:r>
      </w:hyperlink>
      <w:r w:rsidR="00A25B35">
        <w:rPr>
          <w:rFonts w:ascii="Arial" w:hAnsi="Arial" w:cs="Arial"/>
          <w:lang w:val="en-GB"/>
        </w:rPr>
        <w:t xml:space="preserve">(please note </w:t>
      </w:r>
      <w:r w:rsidR="00B8401C">
        <w:rPr>
          <w:rFonts w:ascii="Arial" w:hAnsi="Arial" w:cs="Arial"/>
          <w:lang w:val="en-GB"/>
        </w:rPr>
        <w:t xml:space="preserve">there is a </w:t>
      </w:r>
      <w:r w:rsidR="00A25B35">
        <w:rPr>
          <w:rFonts w:ascii="Arial" w:hAnsi="Arial" w:cs="Arial"/>
          <w:lang w:val="en-GB"/>
        </w:rPr>
        <w:t>local agreement rather than statutory duty</w:t>
      </w:r>
      <w:r w:rsidR="00E06F37">
        <w:rPr>
          <w:rFonts w:ascii="Arial" w:hAnsi="Arial" w:cs="Arial"/>
          <w:lang w:val="en-GB"/>
        </w:rPr>
        <w:t xml:space="preserve"> on schools</w:t>
      </w:r>
      <w:r w:rsidR="00A25B35">
        <w:rPr>
          <w:rFonts w:ascii="Arial" w:hAnsi="Arial" w:cs="Arial"/>
          <w:lang w:val="en-GB"/>
        </w:rPr>
        <w:t>)</w:t>
      </w:r>
      <w:r w:rsidR="00B8401C">
        <w:rPr>
          <w:rFonts w:ascii="Arial" w:hAnsi="Arial" w:cs="Arial"/>
          <w:lang w:val="en-GB"/>
        </w:rPr>
        <w:t>.</w:t>
      </w:r>
      <w:r w:rsidR="00C838E9">
        <w:rPr>
          <w:rFonts w:ascii="Arial" w:hAnsi="Arial" w:cs="Arial"/>
          <w:lang w:val="en-GB"/>
        </w:rPr>
        <w:t xml:space="preserve"> Please refer to </w:t>
      </w:r>
      <w:hyperlink w:anchor="_Appendix:__Secondary" w:history="1">
        <w:r w:rsidR="00C838E9" w:rsidRPr="00C838E9">
          <w:rPr>
            <w:rStyle w:val="Hyperlink"/>
            <w:rFonts w:ascii="Arial" w:hAnsi="Arial" w:cs="Arial"/>
            <w:lang w:val="en-GB"/>
          </w:rPr>
          <w:t>Appendix</w:t>
        </w:r>
        <w:r w:rsidR="00C20D26">
          <w:rPr>
            <w:rStyle w:val="Hyperlink"/>
            <w:rFonts w:ascii="Arial" w:hAnsi="Arial" w:cs="Arial"/>
            <w:lang w:val="en-GB"/>
          </w:rPr>
          <w:t xml:space="preserve"> 3</w:t>
        </w:r>
        <w:r w:rsidR="00C838E9" w:rsidRPr="00C838E9">
          <w:rPr>
            <w:rStyle w:val="Hyperlink"/>
            <w:rFonts w:ascii="Arial" w:hAnsi="Arial" w:cs="Arial"/>
            <w:lang w:val="en-GB"/>
          </w:rPr>
          <w:t>: Secondary to Post 16 Transition</w:t>
        </w:r>
        <w:r w:rsidR="00C838E9">
          <w:rPr>
            <w:rStyle w:val="Hyperlink"/>
            <w:rFonts w:ascii="Arial" w:hAnsi="Arial" w:cs="Arial"/>
            <w:lang w:val="en-GB"/>
          </w:rPr>
          <w:t>.</w:t>
        </w:r>
        <w:r w:rsidR="00C838E9" w:rsidRPr="00C838E9">
          <w:rPr>
            <w:rStyle w:val="Hyperlink"/>
            <w:rFonts w:ascii="Arial" w:hAnsi="Arial" w:cs="Arial"/>
            <w:lang w:val="en-GB"/>
          </w:rPr>
          <w:t xml:space="preserve"> </w:t>
        </w:r>
      </w:hyperlink>
    </w:p>
    <w:p w14:paraId="5AE528F6" w14:textId="74BA97B0" w:rsidR="00AE4484" w:rsidRDefault="001B4849" w:rsidP="007003C0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Information should be ideally shared in advance of the child starting </w:t>
      </w:r>
      <w:r w:rsidR="00991814">
        <w:rPr>
          <w:rFonts w:ascii="Arial" w:hAnsi="Arial" w:cs="Arial"/>
          <w:lang w:val="en-GB"/>
        </w:rPr>
        <w:t xml:space="preserve">the education setting and no later than </w:t>
      </w:r>
      <w:r w:rsidR="00AE4484">
        <w:rPr>
          <w:rFonts w:ascii="Arial" w:hAnsi="Arial" w:cs="Arial"/>
          <w:lang w:val="en-GB"/>
        </w:rPr>
        <w:t>i</w:t>
      </w:r>
      <w:r w:rsidR="00991814">
        <w:rPr>
          <w:rFonts w:ascii="Arial" w:hAnsi="Arial" w:cs="Arial"/>
          <w:lang w:val="en-GB"/>
        </w:rPr>
        <w:t>s required in KCSiE</w:t>
      </w:r>
      <w:r w:rsidR="00AE4484">
        <w:rPr>
          <w:rFonts w:ascii="Arial" w:hAnsi="Arial" w:cs="Arial"/>
          <w:lang w:val="en-GB"/>
        </w:rPr>
        <w:t>.</w:t>
      </w:r>
    </w:p>
    <w:p w14:paraId="32DE92B0" w14:textId="485CAD65" w:rsidR="00937FB8" w:rsidRDefault="00AE4484" w:rsidP="007003C0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Advance information sharing should always take place where there is a need for an “</w:t>
      </w:r>
      <w:hyperlink w:anchor="_Enhanced_Transition" w:history="1">
        <w:r w:rsidRPr="00C50B09">
          <w:rPr>
            <w:rStyle w:val="Hyperlink"/>
            <w:rFonts w:ascii="Arial" w:hAnsi="Arial" w:cs="Arial"/>
            <w:lang w:val="en-GB"/>
          </w:rPr>
          <w:t>enhanced transition</w:t>
        </w:r>
      </w:hyperlink>
      <w:r>
        <w:rPr>
          <w:rFonts w:ascii="Arial" w:hAnsi="Arial" w:cs="Arial"/>
          <w:lang w:val="en-GB"/>
        </w:rPr>
        <w:t>”</w:t>
      </w:r>
      <w:r w:rsidR="0070777C" w:rsidRPr="00CC63A8">
        <w:rPr>
          <w:rFonts w:ascii="Arial" w:hAnsi="Arial" w:cs="Arial"/>
          <w:i/>
          <w:iCs/>
          <w:lang w:val="en-GB"/>
        </w:rPr>
        <w:t>.</w:t>
      </w:r>
    </w:p>
    <w:p w14:paraId="5B7DB95B" w14:textId="46D49D08" w:rsidR="00C838E9" w:rsidRPr="00C838E9" w:rsidRDefault="0070777C" w:rsidP="00C838E9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If the receiving education setting or Local Authority have not received the information as required by KCSiE </w:t>
      </w:r>
      <w:r w:rsidR="009E0B90">
        <w:rPr>
          <w:rFonts w:ascii="Arial" w:hAnsi="Arial" w:cs="Arial"/>
          <w:lang w:val="en-GB"/>
        </w:rPr>
        <w:t xml:space="preserve">from the sending setting/Authority; </w:t>
      </w:r>
      <w:r>
        <w:rPr>
          <w:rFonts w:ascii="Arial" w:hAnsi="Arial" w:cs="Arial"/>
          <w:lang w:val="en-GB"/>
        </w:rPr>
        <w:t xml:space="preserve">then </w:t>
      </w:r>
      <w:r w:rsidR="00C75980">
        <w:rPr>
          <w:rFonts w:ascii="Arial" w:hAnsi="Arial" w:cs="Arial"/>
          <w:lang w:val="en-GB"/>
        </w:rPr>
        <w:t xml:space="preserve">they will use the </w:t>
      </w:r>
      <w:hyperlink r:id="rId28" w:history="1">
        <w:r w:rsidR="000D5E43" w:rsidRPr="000D5E43">
          <w:rPr>
            <w:rStyle w:val="Hyperlink"/>
            <w:rFonts w:ascii="Arial" w:hAnsi="Arial" w:cs="Arial"/>
            <w:lang w:val="en-GB"/>
          </w:rPr>
          <w:t>SSCP Escalation/Resolution Of Disagreements Policy</w:t>
        </w:r>
      </w:hyperlink>
      <w:r w:rsidR="000D5E43">
        <w:rPr>
          <w:rFonts w:ascii="Arial" w:hAnsi="Arial" w:cs="Arial"/>
          <w:lang w:val="en-GB"/>
        </w:rPr>
        <w:t xml:space="preserve"> (or </w:t>
      </w:r>
      <w:r w:rsidR="000A7BEF">
        <w:rPr>
          <w:rFonts w:ascii="Arial" w:hAnsi="Arial" w:cs="Arial"/>
          <w:lang w:val="en-GB"/>
        </w:rPr>
        <w:t xml:space="preserve">applicable Child Safeguarding Partnership Escalation Policy </w:t>
      </w:r>
      <w:r w:rsidR="00525823">
        <w:rPr>
          <w:rFonts w:ascii="Arial" w:hAnsi="Arial" w:cs="Arial"/>
          <w:lang w:val="en-GB"/>
        </w:rPr>
        <w:t>for the Local Authority area that the sending education setting</w:t>
      </w:r>
      <w:r w:rsidR="009E0B90">
        <w:rPr>
          <w:rFonts w:ascii="Arial" w:hAnsi="Arial" w:cs="Arial"/>
          <w:lang w:val="en-GB"/>
        </w:rPr>
        <w:t>/Local Authority</w:t>
      </w:r>
      <w:r w:rsidR="00525823">
        <w:rPr>
          <w:rFonts w:ascii="Arial" w:hAnsi="Arial" w:cs="Arial"/>
          <w:lang w:val="en-GB"/>
        </w:rPr>
        <w:t xml:space="preserve"> is based). </w:t>
      </w:r>
      <w:r w:rsidR="000A7BEF">
        <w:rPr>
          <w:rFonts w:ascii="Arial" w:hAnsi="Arial" w:cs="Arial"/>
          <w:lang w:val="en-GB"/>
        </w:rPr>
        <w:t xml:space="preserve">  </w:t>
      </w:r>
    </w:p>
    <w:p w14:paraId="27B27D2F" w14:textId="77777777" w:rsidR="00B370BD" w:rsidRDefault="00B370BD" w:rsidP="00B370BD">
      <w:pPr>
        <w:rPr>
          <w:rFonts w:ascii="Arial" w:hAnsi="Arial" w:cs="Arial"/>
          <w:lang w:val="en-GB"/>
        </w:rPr>
      </w:pPr>
    </w:p>
    <w:p w14:paraId="3EEBD964" w14:textId="3805429C" w:rsidR="00B370BD" w:rsidRDefault="00326C1D" w:rsidP="00B370BD">
      <w:pPr>
        <w:pStyle w:val="Heading2"/>
        <w:rPr>
          <w:rFonts w:ascii="Arial" w:hAnsi="Arial" w:cs="Arial"/>
          <w:u w:val="single"/>
          <w:lang w:val="en-GB"/>
        </w:rPr>
      </w:pPr>
      <w:bookmarkStart w:id="4" w:name="_Other_transition_arrangements"/>
      <w:bookmarkEnd w:id="4"/>
      <w:r w:rsidRPr="00326C1D">
        <w:rPr>
          <w:rFonts w:ascii="Arial" w:hAnsi="Arial" w:cs="Arial"/>
          <w:u w:val="single"/>
          <w:lang w:val="en-GB"/>
        </w:rPr>
        <w:t>Other transition arrangements</w:t>
      </w:r>
      <w:r w:rsidR="00922CFD">
        <w:rPr>
          <w:rFonts w:ascii="Arial" w:hAnsi="Arial" w:cs="Arial"/>
          <w:u w:val="single"/>
          <w:lang w:val="en-GB"/>
        </w:rPr>
        <w:t xml:space="preserve"> at standard transition points</w:t>
      </w:r>
    </w:p>
    <w:p w14:paraId="4400403E" w14:textId="46A4493C" w:rsidR="00235B70" w:rsidRDefault="00326C1D" w:rsidP="4B153B5C">
      <w:pPr>
        <w:rPr>
          <w:rFonts w:ascii="Arial" w:hAnsi="Arial" w:cs="Arial"/>
        </w:rPr>
      </w:pPr>
      <w:r w:rsidRPr="4B153B5C">
        <w:rPr>
          <w:rFonts w:ascii="Arial" w:hAnsi="Arial" w:cs="Arial"/>
        </w:rPr>
        <w:t>In addition to the sharing of the child protection file</w:t>
      </w:r>
      <w:r w:rsidR="00445DDC" w:rsidRPr="4B153B5C">
        <w:rPr>
          <w:rFonts w:ascii="Arial" w:hAnsi="Arial" w:cs="Arial"/>
        </w:rPr>
        <w:t xml:space="preserve"> as outlined above</w:t>
      </w:r>
      <w:r w:rsidR="0094384E" w:rsidRPr="4B153B5C">
        <w:rPr>
          <w:rFonts w:ascii="Arial" w:hAnsi="Arial" w:cs="Arial"/>
        </w:rPr>
        <w:t xml:space="preserve">; other transition arrangements should be considered </w:t>
      </w:r>
      <w:r w:rsidR="00922CFD" w:rsidRPr="4B153B5C">
        <w:rPr>
          <w:rFonts w:ascii="Arial" w:hAnsi="Arial" w:cs="Arial"/>
        </w:rPr>
        <w:t xml:space="preserve">to ensure </w:t>
      </w:r>
      <w:r w:rsidR="00C71FE9" w:rsidRPr="4B153B5C">
        <w:rPr>
          <w:rFonts w:ascii="Arial" w:hAnsi="Arial" w:cs="Arial"/>
        </w:rPr>
        <w:t xml:space="preserve">all </w:t>
      </w:r>
      <w:bookmarkStart w:id="5" w:name="_Int_JScwaP3E"/>
      <w:r w:rsidR="00922CFD" w:rsidRPr="4B153B5C">
        <w:rPr>
          <w:rFonts w:ascii="Arial" w:hAnsi="Arial" w:cs="Arial"/>
        </w:rPr>
        <w:t>children</w:t>
      </w:r>
      <w:bookmarkEnd w:id="5"/>
      <w:r w:rsidR="00922CFD" w:rsidRPr="4B153B5C">
        <w:rPr>
          <w:rFonts w:ascii="Arial" w:hAnsi="Arial" w:cs="Arial"/>
        </w:rPr>
        <w:t xml:space="preserve"> and their families feel supported at standard transition points</w:t>
      </w:r>
      <w:r w:rsidR="001603EF" w:rsidRPr="4B153B5C">
        <w:rPr>
          <w:rFonts w:ascii="Arial" w:hAnsi="Arial" w:cs="Arial"/>
        </w:rPr>
        <w:t>.</w:t>
      </w:r>
      <w:r w:rsidR="008B1AF6">
        <w:rPr>
          <w:rFonts w:ascii="Arial" w:hAnsi="Arial" w:cs="Arial"/>
        </w:rPr>
        <w:t xml:space="preserve"> This will include ensuring children and families who may have low level needs</w:t>
      </w:r>
      <w:r w:rsidR="00711B95">
        <w:rPr>
          <w:rFonts w:ascii="Arial" w:hAnsi="Arial" w:cs="Arial"/>
        </w:rPr>
        <w:t xml:space="preserve"> </w:t>
      </w:r>
      <w:r w:rsidR="001A5EA2">
        <w:rPr>
          <w:rFonts w:ascii="Arial" w:hAnsi="Arial" w:cs="Arial"/>
        </w:rPr>
        <w:t xml:space="preserve">that would not require </w:t>
      </w:r>
      <w:hyperlink w:anchor="_Enhanced_Transition_1" w:history="1">
        <w:r w:rsidR="001A5EA2" w:rsidRPr="00682366">
          <w:rPr>
            <w:rStyle w:val="Hyperlink"/>
            <w:rFonts w:ascii="Arial" w:hAnsi="Arial" w:cs="Arial"/>
          </w:rPr>
          <w:t>enhanced transition</w:t>
        </w:r>
      </w:hyperlink>
      <w:r w:rsidR="001A5EA2">
        <w:rPr>
          <w:rFonts w:ascii="Arial" w:hAnsi="Arial" w:cs="Arial"/>
        </w:rPr>
        <w:t xml:space="preserve">, </w:t>
      </w:r>
      <w:r w:rsidR="00711B95">
        <w:rPr>
          <w:rFonts w:ascii="Arial" w:hAnsi="Arial" w:cs="Arial"/>
        </w:rPr>
        <w:t xml:space="preserve">are provided with bespoke </w:t>
      </w:r>
      <w:r w:rsidR="00235B70">
        <w:rPr>
          <w:rFonts w:ascii="Arial" w:hAnsi="Arial" w:cs="Arial"/>
        </w:rPr>
        <w:t>support</w:t>
      </w:r>
      <w:r w:rsidR="001A5EA2">
        <w:rPr>
          <w:rFonts w:ascii="Arial" w:hAnsi="Arial" w:cs="Arial"/>
        </w:rPr>
        <w:t>.</w:t>
      </w:r>
      <w:r w:rsidR="00235B70">
        <w:rPr>
          <w:rFonts w:ascii="Arial" w:hAnsi="Arial" w:cs="Arial"/>
        </w:rPr>
        <w:t xml:space="preserve"> </w:t>
      </w:r>
    </w:p>
    <w:p w14:paraId="0EE495FA" w14:textId="77777777" w:rsidR="00235B70" w:rsidRDefault="00235B70" w:rsidP="4B153B5C">
      <w:pPr>
        <w:rPr>
          <w:rFonts w:ascii="Arial" w:hAnsi="Arial" w:cs="Arial"/>
        </w:rPr>
      </w:pPr>
    </w:p>
    <w:p w14:paraId="1548998B" w14:textId="5C4C52CD" w:rsidR="00326C1D" w:rsidRDefault="00235B70" w:rsidP="4B153B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Examples of </w:t>
      </w:r>
      <w:r w:rsidR="00FE3C08">
        <w:rPr>
          <w:rFonts w:ascii="Arial" w:hAnsi="Arial" w:cs="Arial"/>
        </w:rPr>
        <w:t>transition arrangements could</w:t>
      </w:r>
      <w:r w:rsidR="00682366">
        <w:rPr>
          <w:rFonts w:ascii="Arial" w:hAnsi="Arial" w:cs="Arial"/>
        </w:rPr>
        <w:t xml:space="preserve"> include</w:t>
      </w:r>
      <w:r w:rsidR="00922CFD" w:rsidRPr="4B153B5C">
        <w:rPr>
          <w:rFonts w:ascii="Arial" w:hAnsi="Arial" w:cs="Arial"/>
        </w:rPr>
        <w:t>:</w:t>
      </w:r>
    </w:p>
    <w:p w14:paraId="46BBB37A" w14:textId="77777777" w:rsidR="00922CFD" w:rsidRDefault="00922CFD" w:rsidP="00326C1D">
      <w:pPr>
        <w:rPr>
          <w:rFonts w:ascii="Arial" w:hAnsi="Arial" w:cs="Arial"/>
          <w:lang w:val="en-GB"/>
        </w:rPr>
      </w:pPr>
    </w:p>
    <w:p w14:paraId="3DAFDEAC" w14:textId="3BF76F7A" w:rsidR="00922CFD" w:rsidRDefault="00692BED" w:rsidP="00922CFD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Ensuring admissions</w:t>
      </w:r>
      <w:r w:rsidR="00E90B48">
        <w:rPr>
          <w:rFonts w:ascii="Arial" w:hAnsi="Arial" w:cs="Arial"/>
          <w:lang w:val="en-GB"/>
        </w:rPr>
        <w:t>/inductions</w:t>
      </w:r>
      <w:r>
        <w:rPr>
          <w:rFonts w:ascii="Arial" w:hAnsi="Arial" w:cs="Arial"/>
          <w:lang w:val="en-GB"/>
        </w:rPr>
        <w:t xml:space="preserve"> forms and processes</w:t>
      </w:r>
      <w:r w:rsidR="00A15472">
        <w:rPr>
          <w:rFonts w:ascii="Arial" w:hAnsi="Arial" w:cs="Arial"/>
          <w:lang w:val="en-GB"/>
        </w:rPr>
        <w:t xml:space="preserve"> </w:t>
      </w:r>
      <w:r w:rsidR="00E90B48">
        <w:rPr>
          <w:rFonts w:ascii="Arial" w:hAnsi="Arial" w:cs="Arial"/>
          <w:lang w:val="en-GB"/>
        </w:rPr>
        <w:t xml:space="preserve">are accessible </w:t>
      </w:r>
      <w:r w:rsidR="00A15472">
        <w:rPr>
          <w:rFonts w:ascii="Arial" w:hAnsi="Arial" w:cs="Arial"/>
          <w:lang w:val="en-GB"/>
        </w:rPr>
        <w:t>(including providing information</w:t>
      </w:r>
      <w:r w:rsidR="00E90B48">
        <w:rPr>
          <w:rFonts w:ascii="Arial" w:hAnsi="Arial" w:cs="Arial"/>
          <w:lang w:val="en-GB"/>
        </w:rPr>
        <w:t xml:space="preserve"> and support</w:t>
      </w:r>
      <w:r w:rsidR="00A15472">
        <w:rPr>
          <w:rFonts w:ascii="Arial" w:hAnsi="Arial" w:cs="Arial"/>
          <w:lang w:val="en-GB"/>
        </w:rPr>
        <w:t xml:space="preserve"> on </w:t>
      </w:r>
      <w:r w:rsidR="00E90B48">
        <w:rPr>
          <w:rFonts w:ascii="Arial" w:hAnsi="Arial" w:cs="Arial"/>
          <w:lang w:val="en-GB"/>
        </w:rPr>
        <w:t xml:space="preserve">accessing </w:t>
      </w:r>
      <w:r w:rsidR="00A15472">
        <w:rPr>
          <w:rFonts w:ascii="Arial" w:hAnsi="Arial" w:cs="Arial"/>
          <w:lang w:val="en-GB"/>
        </w:rPr>
        <w:t>key staff</w:t>
      </w:r>
      <w:r w:rsidR="008C1A7F">
        <w:rPr>
          <w:rFonts w:ascii="Arial" w:hAnsi="Arial" w:cs="Arial"/>
          <w:lang w:val="en-GB"/>
        </w:rPr>
        <w:t>, transportation etc</w:t>
      </w:r>
      <w:r w:rsidR="00E90B48">
        <w:rPr>
          <w:rFonts w:ascii="Arial" w:hAnsi="Arial" w:cs="Arial"/>
          <w:lang w:val="en-GB"/>
        </w:rPr>
        <w:t xml:space="preserve"> where this is needed</w:t>
      </w:r>
      <w:r w:rsidR="00A15472">
        <w:rPr>
          <w:rFonts w:ascii="Arial" w:hAnsi="Arial" w:cs="Arial"/>
          <w:lang w:val="en-GB"/>
        </w:rPr>
        <w:t>)</w:t>
      </w:r>
      <w:r w:rsidR="00E73756">
        <w:rPr>
          <w:rFonts w:ascii="Arial" w:hAnsi="Arial" w:cs="Arial"/>
          <w:lang w:val="en-GB"/>
        </w:rPr>
        <w:t xml:space="preserve">. </w:t>
      </w:r>
    </w:p>
    <w:p w14:paraId="33E7B3BB" w14:textId="1351F18F" w:rsidR="00E73756" w:rsidRDefault="00790A7F" w:rsidP="00922CFD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Open Days/Evenings to settings</w:t>
      </w:r>
      <w:r w:rsidR="003F5798">
        <w:rPr>
          <w:rFonts w:ascii="Arial" w:hAnsi="Arial" w:cs="Arial"/>
          <w:lang w:val="en-GB"/>
        </w:rPr>
        <w:t xml:space="preserve"> for children and their parents/carers</w:t>
      </w:r>
      <w:r>
        <w:rPr>
          <w:rFonts w:ascii="Arial" w:hAnsi="Arial" w:cs="Arial"/>
          <w:lang w:val="en-GB"/>
        </w:rPr>
        <w:t>.</w:t>
      </w:r>
    </w:p>
    <w:p w14:paraId="4065D8C8" w14:textId="1B8DA454" w:rsidR="00496955" w:rsidRDefault="003F5798" w:rsidP="00922CFD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Transition</w:t>
      </w:r>
      <w:r w:rsidR="00003447">
        <w:rPr>
          <w:rFonts w:ascii="Arial" w:hAnsi="Arial" w:cs="Arial"/>
          <w:lang w:val="en-GB"/>
        </w:rPr>
        <w:t>/Induction</w:t>
      </w:r>
      <w:r w:rsidR="00042DFE">
        <w:rPr>
          <w:rFonts w:ascii="Arial" w:hAnsi="Arial" w:cs="Arial"/>
          <w:lang w:val="en-GB"/>
        </w:rPr>
        <w:t>/Orientation</w:t>
      </w:r>
      <w:r>
        <w:rPr>
          <w:rFonts w:ascii="Arial" w:hAnsi="Arial" w:cs="Arial"/>
          <w:lang w:val="en-GB"/>
        </w:rPr>
        <w:t xml:space="preserve"> </w:t>
      </w:r>
      <w:r w:rsidR="00042DFE">
        <w:rPr>
          <w:rFonts w:ascii="Arial" w:hAnsi="Arial" w:cs="Arial"/>
          <w:lang w:val="en-GB"/>
        </w:rPr>
        <w:t>Visits</w:t>
      </w:r>
      <w:r w:rsidR="00567CAC">
        <w:rPr>
          <w:rFonts w:ascii="Arial" w:hAnsi="Arial" w:cs="Arial"/>
          <w:lang w:val="en-GB"/>
        </w:rPr>
        <w:t>/Sessions</w:t>
      </w:r>
      <w:r w:rsidR="00003447">
        <w:rPr>
          <w:rFonts w:ascii="Arial" w:hAnsi="Arial" w:cs="Arial"/>
          <w:lang w:val="en-GB"/>
        </w:rPr>
        <w:t xml:space="preserve"> for children (either before or at the beginning of a new phase)</w:t>
      </w:r>
      <w:r w:rsidR="0059194A">
        <w:rPr>
          <w:rFonts w:ascii="Arial" w:hAnsi="Arial" w:cs="Arial"/>
          <w:lang w:val="en-GB"/>
        </w:rPr>
        <w:t>.</w:t>
      </w:r>
      <w:r w:rsidR="00003447">
        <w:rPr>
          <w:rFonts w:ascii="Arial" w:hAnsi="Arial" w:cs="Arial"/>
          <w:lang w:val="en-GB"/>
        </w:rPr>
        <w:t xml:space="preserve"> </w:t>
      </w:r>
      <w:r w:rsidR="0059194A">
        <w:rPr>
          <w:rFonts w:ascii="Arial" w:hAnsi="Arial" w:cs="Arial"/>
          <w:lang w:val="en-GB"/>
        </w:rPr>
        <w:t>T</w:t>
      </w:r>
      <w:r w:rsidR="00003447">
        <w:rPr>
          <w:rFonts w:ascii="Arial" w:hAnsi="Arial" w:cs="Arial"/>
          <w:lang w:val="en-GB"/>
        </w:rPr>
        <w:t>o enable children to spend time in the setting before they start</w:t>
      </w:r>
      <w:r w:rsidR="00042DFE">
        <w:rPr>
          <w:rFonts w:ascii="Arial" w:hAnsi="Arial" w:cs="Arial"/>
          <w:lang w:val="en-GB"/>
        </w:rPr>
        <w:t xml:space="preserve">; or where key staff from the setting they are going to </w:t>
      </w:r>
      <w:r w:rsidR="0059194A">
        <w:rPr>
          <w:rFonts w:ascii="Arial" w:hAnsi="Arial" w:cs="Arial"/>
          <w:lang w:val="en-GB"/>
        </w:rPr>
        <w:t>come and visit the current setting</w:t>
      </w:r>
      <w:r w:rsidR="00C34CFA">
        <w:rPr>
          <w:rFonts w:ascii="Arial" w:hAnsi="Arial" w:cs="Arial"/>
          <w:lang w:val="en-GB"/>
        </w:rPr>
        <w:t xml:space="preserve"> to speak to children</w:t>
      </w:r>
      <w:r w:rsidR="0059194A">
        <w:rPr>
          <w:rFonts w:ascii="Arial" w:hAnsi="Arial" w:cs="Arial"/>
          <w:lang w:val="en-GB"/>
        </w:rPr>
        <w:t xml:space="preserve">. </w:t>
      </w:r>
    </w:p>
    <w:p w14:paraId="23269475" w14:textId="299BDA37" w:rsidR="00790A7F" w:rsidRDefault="000155B2" w:rsidP="00922CFD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Other p</w:t>
      </w:r>
      <w:r w:rsidR="002C7F62">
        <w:rPr>
          <w:rFonts w:ascii="Arial" w:hAnsi="Arial" w:cs="Arial"/>
          <w:lang w:val="en-GB"/>
        </w:rPr>
        <w:t xml:space="preserve">reparedness activities (including providing opportunities for children to talk about their new settings; </w:t>
      </w:r>
      <w:r w:rsidR="00103757">
        <w:rPr>
          <w:rFonts w:ascii="Arial" w:hAnsi="Arial" w:cs="Arial"/>
          <w:lang w:val="en-GB"/>
        </w:rPr>
        <w:t>bridging projects across settings</w:t>
      </w:r>
      <w:r w:rsidR="0059194A">
        <w:rPr>
          <w:rFonts w:ascii="Arial" w:hAnsi="Arial" w:cs="Arial"/>
          <w:lang w:val="en-GB"/>
        </w:rPr>
        <w:t>)</w:t>
      </w:r>
      <w:r w:rsidR="00FE3262">
        <w:rPr>
          <w:rFonts w:ascii="Arial" w:hAnsi="Arial" w:cs="Arial"/>
          <w:lang w:val="en-GB"/>
        </w:rPr>
        <w:t>.</w:t>
      </w:r>
    </w:p>
    <w:p w14:paraId="36F39763" w14:textId="77777777" w:rsidR="00E20A8B" w:rsidRDefault="00E20A8B" w:rsidP="00E20A8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</w:rPr>
      </w:pPr>
      <w:bookmarkStart w:id="6" w:name="_Enhanced_Transition"/>
      <w:bookmarkEnd w:id="6"/>
    </w:p>
    <w:p w14:paraId="6D9AB5CB" w14:textId="6B9789CA" w:rsidR="00FE3262" w:rsidRDefault="00FE3262" w:rsidP="00705722">
      <w:pPr>
        <w:pStyle w:val="Heading1"/>
        <w:rPr>
          <w:rFonts w:ascii="Arial" w:hAnsi="Arial" w:cs="Arial"/>
        </w:rPr>
      </w:pPr>
      <w:bookmarkStart w:id="7" w:name="_Enhanced_Transition_1"/>
      <w:bookmarkEnd w:id="7"/>
      <w:r w:rsidRPr="00705722">
        <w:rPr>
          <w:rFonts w:ascii="Arial" w:hAnsi="Arial" w:cs="Arial"/>
        </w:rPr>
        <w:t>Enhanced Transition</w:t>
      </w:r>
    </w:p>
    <w:p w14:paraId="0FF055A7" w14:textId="77777777" w:rsidR="007D5008" w:rsidRDefault="007D5008" w:rsidP="007D5008">
      <w:pPr>
        <w:rPr>
          <w:lang w:val="en-GB"/>
        </w:rPr>
      </w:pPr>
    </w:p>
    <w:p w14:paraId="7C5F06B8" w14:textId="6B006121" w:rsidR="002F2BAB" w:rsidRDefault="4771E382" w:rsidP="002F2BA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5543A">
        <w:rPr>
          <w:rFonts w:ascii="Arial" w:hAnsi="Arial" w:cs="Arial"/>
        </w:rPr>
        <w:t>Children</w:t>
      </w:r>
      <w:r w:rsidR="00B9617F" w:rsidRPr="0035543A">
        <w:rPr>
          <w:rFonts w:ascii="Arial" w:hAnsi="Arial" w:cs="Arial"/>
        </w:rPr>
        <w:t xml:space="preserve"> who have</w:t>
      </w:r>
      <w:r w:rsidR="00F40068">
        <w:rPr>
          <w:rFonts w:ascii="Arial" w:hAnsi="Arial" w:cs="Arial"/>
        </w:rPr>
        <w:t xml:space="preserve"> or have had</w:t>
      </w:r>
      <w:r w:rsidR="00B9617F" w:rsidRPr="0035543A">
        <w:rPr>
          <w:rFonts w:ascii="Arial" w:hAnsi="Arial" w:cs="Arial"/>
        </w:rPr>
        <w:t xml:space="preserve"> certain needs or circumstances</w:t>
      </w:r>
      <w:r w:rsidR="0035543A" w:rsidRPr="0035543A">
        <w:rPr>
          <w:rFonts w:ascii="Arial" w:hAnsi="Arial" w:cs="Arial"/>
        </w:rPr>
        <w:t xml:space="preserve"> (hereafter referred to as </w:t>
      </w:r>
      <w:hyperlink w:anchor="_Children_with_educational" w:history="1">
        <w:r w:rsidR="0035543A" w:rsidRPr="00625CC8">
          <w:rPr>
            <w:rStyle w:val="Hyperlink"/>
            <w:rFonts w:ascii="Arial" w:hAnsi="Arial" w:cs="Arial"/>
          </w:rPr>
          <w:t>children with educational vulnerabilities</w:t>
        </w:r>
      </w:hyperlink>
      <w:r w:rsidR="0035543A" w:rsidRPr="0035543A">
        <w:rPr>
          <w:rFonts w:ascii="Arial" w:hAnsi="Arial" w:cs="Arial"/>
        </w:rPr>
        <w:t>)</w:t>
      </w:r>
      <w:r w:rsidR="00B9617F" w:rsidRPr="0035543A">
        <w:rPr>
          <w:rFonts w:ascii="Arial" w:hAnsi="Arial" w:cs="Arial"/>
        </w:rPr>
        <w:t xml:space="preserve"> </w:t>
      </w:r>
      <w:r w:rsidR="0040272E">
        <w:rPr>
          <w:rFonts w:ascii="Arial" w:hAnsi="Arial" w:cs="Arial"/>
        </w:rPr>
        <w:t>may find educational trans</w:t>
      </w:r>
      <w:r w:rsidR="00983D04">
        <w:rPr>
          <w:rFonts w:ascii="Arial" w:hAnsi="Arial" w:cs="Arial"/>
        </w:rPr>
        <w:t xml:space="preserve">ition difficult and are also </w:t>
      </w:r>
      <w:r w:rsidR="00983D04" w:rsidRPr="0040272E">
        <w:rPr>
          <w:rFonts w:ascii="Arial" w:hAnsi="Arial" w:cs="Arial"/>
        </w:rPr>
        <w:t>potentially at greater risk of experiencing harm than other</w:t>
      </w:r>
      <w:r w:rsidR="00983D04">
        <w:rPr>
          <w:rFonts w:ascii="Arial" w:hAnsi="Arial" w:cs="Arial"/>
        </w:rPr>
        <w:t xml:space="preserve"> children who don’t have the same needs and/or circumstances</w:t>
      </w:r>
      <w:r w:rsidR="00983D04" w:rsidRPr="0040272E">
        <w:rPr>
          <w:rStyle w:val="FootnoteReference"/>
          <w:rFonts w:ascii="Arial" w:hAnsi="Arial" w:cs="Arial"/>
        </w:rPr>
        <w:footnoteReference w:id="10"/>
      </w:r>
      <w:r w:rsidR="00983D04" w:rsidRPr="0040272E">
        <w:rPr>
          <w:rFonts w:ascii="Arial" w:hAnsi="Arial" w:cs="Arial"/>
        </w:rPr>
        <w:t xml:space="preserve"> </w:t>
      </w:r>
      <w:r w:rsidR="00983D04">
        <w:rPr>
          <w:rFonts w:ascii="Arial" w:hAnsi="Arial" w:cs="Arial"/>
        </w:rPr>
        <w:t xml:space="preserve">. </w:t>
      </w:r>
      <w:r w:rsidR="002F2BAB">
        <w:rPr>
          <w:rFonts w:ascii="Arial" w:hAnsi="Arial" w:cs="Arial"/>
        </w:rPr>
        <w:t xml:space="preserve">Such children would therefore benefit from an </w:t>
      </w:r>
      <w:r w:rsidR="00415B2A" w:rsidRPr="0035543A">
        <w:rPr>
          <w:rFonts w:ascii="Arial" w:hAnsi="Arial" w:cs="Arial"/>
        </w:rPr>
        <w:t xml:space="preserve">enhanced level of </w:t>
      </w:r>
      <w:r w:rsidR="00415B2A">
        <w:rPr>
          <w:rFonts w:ascii="Arial" w:hAnsi="Arial" w:cs="Arial"/>
        </w:rPr>
        <w:t xml:space="preserve">support during educational </w:t>
      </w:r>
      <w:r w:rsidR="00415B2A" w:rsidRPr="0035543A">
        <w:rPr>
          <w:rFonts w:ascii="Arial" w:hAnsi="Arial" w:cs="Arial"/>
        </w:rPr>
        <w:t>transition</w:t>
      </w:r>
      <w:r w:rsidR="00415B2A">
        <w:rPr>
          <w:rFonts w:ascii="Arial" w:hAnsi="Arial" w:cs="Arial"/>
        </w:rPr>
        <w:t xml:space="preserve"> (hereafter referred to as an </w:t>
      </w:r>
      <w:r w:rsidR="002F2BAB">
        <w:rPr>
          <w:rFonts w:ascii="Arial" w:hAnsi="Arial" w:cs="Arial"/>
        </w:rPr>
        <w:t>“enhanced transition”</w:t>
      </w:r>
      <w:r w:rsidR="00415B2A">
        <w:rPr>
          <w:rFonts w:ascii="Arial" w:hAnsi="Arial" w:cs="Arial"/>
        </w:rPr>
        <w:t>)</w:t>
      </w:r>
      <w:r w:rsidR="002F2BAB">
        <w:rPr>
          <w:rFonts w:ascii="Arial" w:hAnsi="Arial" w:cs="Arial"/>
        </w:rPr>
        <w:t xml:space="preserve"> to enable them to continue the help and support they need and ensure that they can continue/return to </w:t>
      </w:r>
      <w:r w:rsidR="002F2BAB">
        <w:rPr>
          <w:rStyle w:val="normaltextrun"/>
          <w:rFonts w:ascii="Arial" w:hAnsi="Arial" w:cs="Arial"/>
        </w:rPr>
        <w:t>attend and engage with education in a</w:t>
      </w:r>
      <w:r w:rsidR="002F2BAB" w:rsidRPr="00C64DB6">
        <w:rPr>
          <w:rStyle w:val="normaltextrun"/>
          <w:rFonts w:ascii="Arial" w:hAnsi="Arial" w:cs="Arial"/>
        </w:rPr>
        <w:t xml:space="preserve"> suitable environment</w:t>
      </w:r>
      <w:r w:rsidR="002F2BAB">
        <w:rPr>
          <w:rFonts w:ascii="Arial" w:hAnsi="Arial" w:cs="Arial"/>
        </w:rPr>
        <w:t xml:space="preserve">. </w:t>
      </w:r>
    </w:p>
    <w:p w14:paraId="3A5C2804" w14:textId="77777777" w:rsidR="00263753" w:rsidRDefault="00263753" w:rsidP="002F2BA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9606FE6" w14:textId="16DB9E35" w:rsidR="00983D04" w:rsidRPr="00E030BB" w:rsidRDefault="00983D04" w:rsidP="00983D04">
      <w:pPr>
        <w:pStyle w:val="Heading2"/>
        <w:rPr>
          <w:rFonts w:ascii="Arial" w:hAnsi="Arial" w:cs="Arial"/>
          <w:u w:val="single"/>
        </w:rPr>
      </w:pPr>
      <w:bookmarkStart w:id="8" w:name="_Children_with_educational"/>
      <w:bookmarkEnd w:id="8"/>
      <w:r w:rsidRPr="00E030BB">
        <w:rPr>
          <w:rFonts w:ascii="Arial" w:hAnsi="Arial" w:cs="Arial"/>
          <w:u w:val="single"/>
        </w:rPr>
        <w:t xml:space="preserve">Children </w:t>
      </w:r>
      <w:r w:rsidR="00E030BB" w:rsidRPr="00E030BB">
        <w:rPr>
          <w:rFonts w:ascii="Arial" w:hAnsi="Arial" w:cs="Arial"/>
          <w:u w:val="single"/>
        </w:rPr>
        <w:t>with educational vulnerabilities</w:t>
      </w:r>
    </w:p>
    <w:p w14:paraId="60223D1D" w14:textId="77777777" w:rsidR="00C9454B" w:rsidRDefault="00C9454B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4BE41FD" w14:textId="59887651" w:rsidR="002162E2" w:rsidRDefault="002162E2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Children who should be considered to have educational </w:t>
      </w:r>
      <w:r w:rsidR="007320A5">
        <w:rPr>
          <w:rFonts w:ascii="Arial" w:hAnsi="Arial" w:cs="Arial"/>
        </w:rPr>
        <w:t>vulnerabilities</w:t>
      </w:r>
      <w:r>
        <w:rPr>
          <w:rFonts w:ascii="Arial" w:hAnsi="Arial" w:cs="Arial"/>
        </w:rPr>
        <w:t xml:space="preserve"> include</w:t>
      </w:r>
      <w:r w:rsidR="00A06970">
        <w:rPr>
          <w:rFonts w:ascii="Arial" w:hAnsi="Arial" w:cs="Arial"/>
        </w:rPr>
        <w:t xml:space="preserve"> those who </w:t>
      </w:r>
      <w:r w:rsidR="008E57AD">
        <w:rPr>
          <w:rFonts w:ascii="Arial" w:hAnsi="Arial" w:cs="Arial"/>
        </w:rPr>
        <w:t xml:space="preserve">currently </w:t>
      </w:r>
      <w:r w:rsidR="00D854BA">
        <w:rPr>
          <w:rFonts w:ascii="Arial" w:hAnsi="Arial" w:cs="Arial"/>
        </w:rPr>
        <w:t xml:space="preserve">have </w:t>
      </w:r>
      <w:r w:rsidR="008E57AD">
        <w:rPr>
          <w:rFonts w:ascii="Arial" w:hAnsi="Arial" w:cs="Arial"/>
        </w:rPr>
        <w:t xml:space="preserve">or </w:t>
      </w:r>
      <w:r w:rsidR="00172B7B">
        <w:rPr>
          <w:rFonts w:ascii="Arial" w:hAnsi="Arial" w:cs="Arial"/>
        </w:rPr>
        <w:t xml:space="preserve">have had </w:t>
      </w:r>
      <w:r w:rsidR="008E57AD">
        <w:rPr>
          <w:rFonts w:ascii="Arial" w:hAnsi="Arial" w:cs="Arial"/>
        </w:rPr>
        <w:t>in the past</w:t>
      </w:r>
      <w:r w:rsidR="00A06970">
        <w:rPr>
          <w:rFonts w:ascii="Arial" w:hAnsi="Arial" w:cs="Arial"/>
        </w:rPr>
        <w:t>:</w:t>
      </w:r>
    </w:p>
    <w:p w14:paraId="19B7AC3F" w14:textId="77777777" w:rsidR="00A06970" w:rsidRDefault="00A06970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5355" w:type="pct"/>
        <w:tblInd w:w="-431" w:type="dxa"/>
        <w:tblLook w:val="04A0" w:firstRow="1" w:lastRow="0" w:firstColumn="1" w:lastColumn="0" w:noHBand="0" w:noVBand="1"/>
      </w:tblPr>
      <w:tblGrid>
        <w:gridCol w:w="6336"/>
        <w:gridCol w:w="6831"/>
      </w:tblGrid>
      <w:tr w:rsidR="00C9454B" w14:paraId="727A993A" w14:textId="77777777" w:rsidTr="00F41526">
        <w:tc>
          <w:tcPr>
            <w:tcW w:w="2406" w:type="pct"/>
          </w:tcPr>
          <w:p w14:paraId="163A5E70" w14:textId="1C21D94B" w:rsidR="001124FA" w:rsidRDefault="007E1339" w:rsidP="001124F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  <w:r w:rsidR="00BA48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 m</w:t>
            </w:r>
            <w:r w:rsidR="00C9454B">
              <w:rPr>
                <w:rFonts w:ascii="Arial" w:hAnsi="Arial" w:cs="Arial"/>
              </w:rPr>
              <w:t xml:space="preserve">ultiple </w:t>
            </w:r>
            <w:hyperlink w:anchor="_Introduction_and_scope" w:history="1">
              <w:r w:rsidR="00C9454B" w:rsidRPr="00DD4343">
                <w:rPr>
                  <w:rStyle w:val="Hyperlink"/>
                  <w:rFonts w:ascii="Arial" w:hAnsi="Arial" w:cs="Arial"/>
                </w:rPr>
                <w:t>non-standard educational transitions</w:t>
              </w:r>
            </w:hyperlink>
            <w:r w:rsidR="001124FA" w:rsidRPr="00D8335F">
              <w:rPr>
                <w:rFonts w:ascii="Arial" w:hAnsi="Arial" w:cs="Arial"/>
              </w:rPr>
              <w:t xml:space="preserve"> including:</w:t>
            </w:r>
          </w:p>
          <w:p w14:paraId="5845AB14" w14:textId="77777777" w:rsidR="001124FA" w:rsidRDefault="001124FA" w:rsidP="001124F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03C1078B" w14:textId="77777777" w:rsidR="001124FA" w:rsidRDefault="001124FA" w:rsidP="001124F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In-year transfers due to a change in circumstances (including a change in care or accommodation arrangements or to meet special educational needs) or child/parental preference.</w:t>
            </w:r>
          </w:p>
          <w:p w14:paraId="1F4B1AD7" w14:textId="77777777" w:rsidR="001124FA" w:rsidRDefault="001124FA" w:rsidP="001124F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Accessing alternative provision or (to support special educational needs or continue accessing education whilst receiving medical treatment).</w:t>
            </w:r>
          </w:p>
          <w:p w14:paraId="1F517E8D" w14:textId="77777777" w:rsidR="001124FA" w:rsidRDefault="001124FA" w:rsidP="001124F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Becoming electively home educated.</w:t>
            </w:r>
          </w:p>
          <w:p w14:paraId="1470B5E6" w14:textId="77777777" w:rsidR="001124FA" w:rsidRDefault="001124FA" w:rsidP="001124F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exclusion.</w:t>
            </w:r>
          </w:p>
          <w:p w14:paraId="42FF07C1" w14:textId="77777777" w:rsidR="001124FA" w:rsidRDefault="001124FA" w:rsidP="001124F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Missing education.</w:t>
            </w:r>
          </w:p>
          <w:p w14:paraId="4CD950BA" w14:textId="77777777" w:rsidR="001124FA" w:rsidRDefault="001124FA" w:rsidP="001124F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Reintegration following a period of non-formal education. </w:t>
            </w:r>
          </w:p>
          <w:p w14:paraId="6B56A016" w14:textId="47FAD2B3" w:rsidR="00C9454B" w:rsidRPr="001124FA" w:rsidRDefault="00C9454B" w:rsidP="00F41526">
            <w:pPr>
              <w:tabs>
                <w:tab w:val="left" w:pos="1762"/>
              </w:tabs>
              <w:rPr>
                <w:rFonts w:ascii="Arial" w:hAnsi="Arial" w:cs="Arial"/>
              </w:rPr>
            </w:pPr>
          </w:p>
        </w:tc>
        <w:tc>
          <w:tcPr>
            <w:tcW w:w="2594" w:type="pct"/>
          </w:tcPr>
          <w:p w14:paraId="754851E4" w14:textId="4A380419" w:rsidR="00C9454B" w:rsidRDefault="00471C5A" w:rsidP="00F41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Received </w:t>
            </w:r>
            <w:r w:rsidR="00C9454B">
              <w:rPr>
                <w:rFonts w:ascii="Arial" w:hAnsi="Arial" w:cs="Arial"/>
              </w:rPr>
              <w:t>Elective Home Educat</w:t>
            </w:r>
            <w:r w:rsidR="00BA484B">
              <w:rPr>
                <w:rFonts w:ascii="Arial" w:hAnsi="Arial" w:cs="Arial"/>
              </w:rPr>
              <w:t>ion</w:t>
            </w:r>
            <w:r>
              <w:rPr>
                <w:rFonts w:ascii="Arial" w:hAnsi="Arial" w:cs="Arial"/>
              </w:rPr>
              <w:t xml:space="preserve"> (EHE)</w:t>
            </w:r>
            <w:r w:rsidR="00C9454B">
              <w:rPr>
                <w:rFonts w:ascii="Arial" w:hAnsi="Arial" w:cs="Arial"/>
              </w:rPr>
              <w:t xml:space="preserve"> </w:t>
            </w:r>
          </w:p>
        </w:tc>
      </w:tr>
      <w:tr w:rsidR="00C9454B" w14:paraId="2AFEC0C3" w14:textId="77777777" w:rsidTr="00F41526">
        <w:tc>
          <w:tcPr>
            <w:tcW w:w="2406" w:type="pct"/>
          </w:tcPr>
          <w:p w14:paraId="64553A95" w14:textId="33C4EB9F" w:rsidR="00C9454B" w:rsidRDefault="007B2F6C" w:rsidP="00F41526">
            <w:pPr>
              <w:tabs>
                <w:tab w:val="left" w:pos="1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Education Needs and/or Disabilities</w:t>
            </w:r>
            <w:r w:rsidR="00E15F1C">
              <w:rPr>
                <w:rFonts w:ascii="Arial" w:hAnsi="Arial" w:cs="Arial"/>
              </w:rPr>
              <w:t xml:space="preserve"> (SEND)</w:t>
            </w:r>
            <w:r w:rsidR="00C9454B">
              <w:rPr>
                <w:rFonts w:ascii="Arial" w:hAnsi="Arial" w:cs="Arial"/>
              </w:rPr>
              <w:tab/>
            </w:r>
          </w:p>
        </w:tc>
        <w:tc>
          <w:tcPr>
            <w:tcW w:w="2594" w:type="pct"/>
          </w:tcPr>
          <w:p w14:paraId="338D11E3" w14:textId="73B95C94" w:rsidR="00E54C0D" w:rsidRDefault="009E360B" w:rsidP="00F41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 s</w:t>
            </w:r>
            <w:r w:rsidR="008D787C">
              <w:rPr>
                <w:rFonts w:ascii="Arial" w:hAnsi="Arial" w:cs="Arial"/>
              </w:rPr>
              <w:t xml:space="preserve">upport or protection </w:t>
            </w:r>
            <w:r w:rsidR="0004258F">
              <w:rPr>
                <w:rFonts w:ascii="Arial" w:hAnsi="Arial" w:cs="Arial"/>
              </w:rPr>
              <w:t>from Local Authority Children’s Social Work Teams</w:t>
            </w:r>
            <w:r w:rsidR="00E54C0D">
              <w:rPr>
                <w:rFonts w:ascii="Arial" w:hAnsi="Arial" w:cs="Arial"/>
              </w:rPr>
              <w:t xml:space="preserve"> including:</w:t>
            </w:r>
          </w:p>
          <w:p w14:paraId="4767F54C" w14:textId="6ABD4B45" w:rsidR="00C9347C" w:rsidRPr="00C9347C" w:rsidRDefault="00C9347C" w:rsidP="00C9347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9347C">
              <w:rPr>
                <w:rFonts w:ascii="Arial" w:hAnsi="Arial" w:cs="Arial"/>
              </w:rPr>
              <w:t>In Need</w:t>
            </w:r>
            <w:r w:rsidR="00E15F1C">
              <w:rPr>
                <w:rFonts w:ascii="Arial" w:hAnsi="Arial" w:cs="Arial"/>
              </w:rPr>
              <w:t xml:space="preserve"> (CIN)</w:t>
            </w:r>
          </w:p>
          <w:p w14:paraId="2898B003" w14:textId="2B7C1066" w:rsidR="00C9347C" w:rsidRPr="00C9347C" w:rsidRDefault="00C9347C" w:rsidP="00C9347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9347C">
              <w:rPr>
                <w:rFonts w:ascii="Arial" w:hAnsi="Arial" w:cs="Arial"/>
              </w:rPr>
              <w:t>Requiring protection</w:t>
            </w:r>
            <w:r w:rsidR="00E15F1C">
              <w:rPr>
                <w:rFonts w:ascii="Arial" w:hAnsi="Arial" w:cs="Arial"/>
              </w:rPr>
              <w:t xml:space="preserve"> (CP)</w:t>
            </w:r>
          </w:p>
          <w:p w14:paraId="34B5515A" w14:textId="3099929D" w:rsidR="00C9454B" w:rsidRPr="00C9347C" w:rsidRDefault="007B2F6C" w:rsidP="00C9347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9347C">
              <w:rPr>
                <w:rFonts w:ascii="Arial" w:hAnsi="Arial" w:cs="Arial"/>
              </w:rPr>
              <w:t xml:space="preserve">Looked After </w:t>
            </w:r>
            <w:r w:rsidR="00E15F1C">
              <w:rPr>
                <w:rFonts w:ascii="Arial" w:hAnsi="Arial" w:cs="Arial"/>
              </w:rPr>
              <w:t>(</w:t>
            </w:r>
            <w:r w:rsidR="00F40068">
              <w:rPr>
                <w:rFonts w:ascii="Arial" w:hAnsi="Arial" w:cs="Arial"/>
              </w:rPr>
              <w:t>LAC/PLAC)</w:t>
            </w:r>
          </w:p>
        </w:tc>
      </w:tr>
      <w:tr w:rsidR="00C9454B" w:rsidRPr="00831423" w14:paraId="535EEFE4" w14:textId="77777777" w:rsidTr="00D012EC">
        <w:tc>
          <w:tcPr>
            <w:tcW w:w="2406" w:type="pct"/>
          </w:tcPr>
          <w:p w14:paraId="4E41EA7C" w14:textId="6D3EFC5E" w:rsidR="00C9454B" w:rsidRDefault="00476867" w:rsidP="00F41526">
            <w:pPr>
              <w:tabs>
                <w:tab w:val="center" w:pos="29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Serious behaviour concerns (e.g. suspensions/exclusions)</w:t>
            </w:r>
          </w:p>
        </w:tc>
        <w:tc>
          <w:tcPr>
            <w:tcW w:w="2594" w:type="pct"/>
            <w:tcBorders>
              <w:bottom w:val="single" w:sz="4" w:space="0" w:color="000000" w:themeColor="text1"/>
            </w:tcBorders>
          </w:tcPr>
          <w:p w14:paraId="51CD7DC6" w14:textId="23AE00AE" w:rsidR="00C9454B" w:rsidRPr="00831423" w:rsidRDefault="00C9454B" w:rsidP="00F41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“Other” safeguarding concerns</w:t>
            </w:r>
            <w:r w:rsidR="00476867">
              <w:rPr>
                <w:rFonts w:ascii="Arial" w:hAnsi="Arial" w:cs="Arial"/>
              </w:rPr>
              <w:t xml:space="preserve"> that may not have </w:t>
            </w:r>
            <w:r w:rsidR="00BF7BB5">
              <w:rPr>
                <w:rFonts w:ascii="Arial" w:hAnsi="Arial" w:cs="Arial"/>
              </w:rPr>
              <w:t>resulted in</w:t>
            </w:r>
            <w:r w:rsidR="00476867">
              <w:rPr>
                <w:rFonts w:ascii="Arial" w:hAnsi="Arial" w:cs="Arial"/>
              </w:rPr>
              <w:t xml:space="preserve"> Children’s Social Work</w:t>
            </w:r>
            <w:r w:rsidR="00BF7BB5">
              <w:rPr>
                <w:rFonts w:ascii="Arial" w:hAnsi="Arial" w:cs="Arial"/>
              </w:rPr>
              <w:t xml:space="preserve"> Team involvement</w:t>
            </w:r>
            <w:r w:rsidR="004C3FC0">
              <w:rPr>
                <w:rFonts w:ascii="Arial" w:hAnsi="Arial" w:cs="Arial"/>
              </w:rPr>
              <w:t xml:space="preserve"> (</w:t>
            </w:r>
            <w:proofErr w:type="spellStart"/>
            <w:r w:rsidR="004C3FC0">
              <w:rPr>
                <w:rFonts w:ascii="Arial" w:hAnsi="Arial" w:cs="Arial"/>
              </w:rPr>
              <w:t>e.g</w:t>
            </w:r>
            <w:proofErr w:type="spellEnd"/>
            <w:r w:rsidR="004C3FC0">
              <w:rPr>
                <w:rFonts w:ascii="Arial" w:hAnsi="Arial" w:cs="Arial"/>
              </w:rPr>
              <w:t xml:space="preserve"> where Early Help has been provided)</w:t>
            </w:r>
            <w:r w:rsidR="00BF7BB5">
              <w:rPr>
                <w:rFonts w:ascii="Arial" w:hAnsi="Arial" w:cs="Arial"/>
              </w:rPr>
              <w:t>.</w:t>
            </w:r>
          </w:p>
        </w:tc>
      </w:tr>
      <w:tr w:rsidR="00C9454B" w14:paraId="79731F10" w14:textId="77777777" w:rsidTr="00D012EC">
        <w:tc>
          <w:tcPr>
            <w:tcW w:w="2406" w:type="pct"/>
            <w:tcBorders>
              <w:bottom w:val="single" w:sz="4" w:space="0" w:color="000000" w:themeColor="text1"/>
            </w:tcBorders>
          </w:tcPr>
          <w:p w14:paraId="55C0AAE9" w14:textId="034FF7CE" w:rsidR="00C9454B" w:rsidRDefault="00D854BA" w:rsidP="00F41526">
            <w:pPr>
              <w:tabs>
                <w:tab w:val="left" w:pos="3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33B69">
              <w:rPr>
                <w:rFonts w:ascii="Arial" w:hAnsi="Arial" w:cs="Arial"/>
              </w:rPr>
              <w:t xml:space="preserve">ttended Alternative Provision. </w:t>
            </w:r>
          </w:p>
        </w:tc>
        <w:tc>
          <w:tcPr>
            <w:tcW w:w="2594" w:type="pct"/>
            <w:tcBorders>
              <w:bottom w:val="single" w:sz="4" w:space="0" w:color="auto"/>
            </w:tcBorders>
          </w:tcPr>
          <w:p w14:paraId="224DAD1A" w14:textId="77777777" w:rsidR="00E323D7" w:rsidRDefault="00C65DB0" w:rsidP="00E323D7">
            <w:pPr>
              <w:rPr>
                <w:rFonts w:ascii="Arial" w:hAnsi="Arial" w:cs="Arial"/>
              </w:rPr>
            </w:pPr>
            <w:r w:rsidRPr="00E323D7">
              <w:rPr>
                <w:rFonts w:ascii="Arial" w:hAnsi="Arial" w:cs="Arial"/>
              </w:rPr>
              <w:t>C</w:t>
            </w:r>
            <w:r w:rsidR="003A073A" w:rsidRPr="00E323D7">
              <w:rPr>
                <w:rFonts w:ascii="Arial" w:hAnsi="Arial" w:cs="Arial"/>
              </w:rPr>
              <w:t>oncerns</w:t>
            </w:r>
            <w:r w:rsidR="00AB408C" w:rsidRPr="00E323D7">
              <w:rPr>
                <w:rFonts w:ascii="Arial" w:hAnsi="Arial" w:cs="Arial"/>
              </w:rPr>
              <w:t xml:space="preserve"> about attendance</w:t>
            </w:r>
            <w:r w:rsidR="00E323D7" w:rsidRPr="00E323D7">
              <w:rPr>
                <w:rFonts w:ascii="Arial" w:hAnsi="Arial" w:cs="Arial"/>
              </w:rPr>
              <w:t xml:space="preserve"> </w:t>
            </w:r>
            <w:r w:rsidR="00932F8A" w:rsidRPr="00E323D7">
              <w:rPr>
                <w:rFonts w:ascii="Arial" w:hAnsi="Arial" w:cs="Arial"/>
              </w:rPr>
              <w:t>including</w:t>
            </w:r>
            <w:r w:rsidR="00E323D7" w:rsidRPr="00E323D7">
              <w:rPr>
                <w:rFonts w:ascii="Arial" w:hAnsi="Arial" w:cs="Arial"/>
              </w:rPr>
              <w:t>:</w:t>
            </w:r>
            <w:r w:rsidR="00932F8A" w:rsidRPr="00E323D7">
              <w:rPr>
                <w:rFonts w:ascii="Arial" w:hAnsi="Arial" w:cs="Arial"/>
              </w:rPr>
              <w:t xml:space="preserve"> </w:t>
            </w:r>
          </w:p>
          <w:p w14:paraId="7E65EBC9" w14:textId="7A49B6C8" w:rsidR="00E323D7" w:rsidRPr="00E323D7" w:rsidRDefault="00E323D7" w:rsidP="00E323D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10783" w:rsidRPr="00E323D7">
              <w:rPr>
                <w:rFonts w:ascii="Arial" w:hAnsi="Arial" w:cs="Arial"/>
              </w:rPr>
              <w:t>ersistent/severe absence</w:t>
            </w:r>
            <w:r w:rsidR="00932F8A" w:rsidRPr="00E323D7">
              <w:rPr>
                <w:rFonts w:ascii="Arial" w:hAnsi="Arial" w:cs="Arial"/>
              </w:rPr>
              <w:t xml:space="preserve">, </w:t>
            </w:r>
          </w:p>
          <w:p w14:paraId="2F6B7EA6" w14:textId="52712B07" w:rsidR="00E323D7" w:rsidRDefault="00E323D7" w:rsidP="00E323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32F8A" w:rsidRPr="00E323D7">
              <w:rPr>
                <w:rFonts w:ascii="Arial" w:hAnsi="Arial" w:cs="Arial"/>
              </w:rPr>
              <w:t>issing education</w:t>
            </w:r>
            <w:r w:rsidR="00A00B4A">
              <w:rPr>
                <w:rFonts w:ascii="Arial" w:hAnsi="Arial" w:cs="Arial"/>
              </w:rPr>
              <w:t xml:space="preserve"> (CME)</w:t>
            </w:r>
            <w:r w:rsidR="00932F8A" w:rsidRPr="00E323D7">
              <w:rPr>
                <w:rFonts w:ascii="Arial" w:hAnsi="Arial" w:cs="Arial"/>
              </w:rPr>
              <w:t xml:space="preserve">, </w:t>
            </w:r>
          </w:p>
          <w:p w14:paraId="28705867" w14:textId="77777777" w:rsidR="00E323D7" w:rsidRDefault="00932F8A" w:rsidP="00E323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323D7">
              <w:rPr>
                <w:rFonts w:ascii="Arial" w:hAnsi="Arial" w:cs="Arial"/>
              </w:rPr>
              <w:t xml:space="preserve">Emotional Based School Avoidance (EBSA), </w:t>
            </w:r>
          </w:p>
          <w:p w14:paraId="5B69807D" w14:textId="6AD575DC" w:rsidR="00C9454B" w:rsidRPr="00E323D7" w:rsidRDefault="00A00B4A" w:rsidP="00E323D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Educational neglect.</w:t>
            </w:r>
            <w:r>
              <w:rPr>
                <w:rStyle w:val="FootnoteReference"/>
                <w:rFonts w:ascii="Arial" w:hAnsi="Arial" w:cs="Arial"/>
                <w:lang w:val="en-GB"/>
              </w:rPr>
              <w:footnoteReference w:id="11"/>
            </w:r>
          </w:p>
        </w:tc>
      </w:tr>
      <w:tr w:rsidR="00C9454B" w14:paraId="2F6A072E" w14:textId="77777777" w:rsidTr="00D012EC">
        <w:tc>
          <w:tcPr>
            <w:tcW w:w="2406" w:type="pct"/>
            <w:tcBorders>
              <w:right w:val="single" w:sz="4" w:space="0" w:color="auto"/>
            </w:tcBorders>
          </w:tcPr>
          <w:p w14:paraId="507B98FB" w14:textId="72E2EE32" w:rsidR="00C9454B" w:rsidRDefault="000E199A" w:rsidP="00F41526">
            <w:pPr>
              <w:tabs>
                <w:tab w:val="left" w:pos="50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  <w:r w:rsidR="00344ECB">
              <w:rPr>
                <w:rFonts w:ascii="Arial" w:hAnsi="Arial" w:cs="Arial"/>
              </w:rPr>
              <w:t xml:space="preserve"> (beyond that which is universally provided</w:t>
            </w:r>
            <w:r>
              <w:rPr>
                <w:rFonts w:ascii="Arial" w:hAnsi="Arial" w:cs="Arial"/>
              </w:rPr>
              <w:t xml:space="preserve"> for all children</w:t>
            </w:r>
            <w:r w:rsidR="00344ECB">
              <w:rPr>
                <w:rFonts w:ascii="Arial" w:hAnsi="Arial" w:cs="Arial"/>
              </w:rPr>
              <w:t>)</w:t>
            </w:r>
            <w:r w:rsidR="00CC23C8">
              <w:rPr>
                <w:rFonts w:ascii="Arial" w:hAnsi="Arial" w:cs="Arial"/>
              </w:rPr>
              <w:t xml:space="preserve"> </w:t>
            </w:r>
            <w:r w:rsidR="00344ECB">
              <w:rPr>
                <w:rFonts w:ascii="Arial" w:hAnsi="Arial" w:cs="Arial"/>
              </w:rPr>
              <w:t>for</w:t>
            </w:r>
            <w:r w:rsidR="00CC23C8">
              <w:rPr>
                <w:rFonts w:ascii="Arial" w:hAnsi="Arial" w:cs="Arial"/>
              </w:rPr>
              <w:t xml:space="preserve"> their </w:t>
            </w:r>
            <w:r w:rsidR="0011334F">
              <w:rPr>
                <w:rFonts w:ascii="Arial" w:hAnsi="Arial" w:cs="Arial"/>
              </w:rPr>
              <w:t>mental/physical health needs.</w:t>
            </w:r>
            <w:r w:rsidR="00C9454B">
              <w:rPr>
                <w:rFonts w:ascii="Arial" w:hAnsi="Arial" w:cs="Arial"/>
              </w:rPr>
              <w:tab/>
            </w:r>
          </w:p>
          <w:p w14:paraId="30A8ABE0" w14:textId="77777777" w:rsidR="00C9454B" w:rsidRDefault="00C9454B" w:rsidP="00F41526">
            <w:pPr>
              <w:tabs>
                <w:tab w:val="left" w:pos="5076"/>
              </w:tabs>
              <w:rPr>
                <w:rFonts w:ascii="Arial" w:hAnsi="Arial" w:cs="Arial"/>
              </w:rPr>
            </w:pP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1D69048" w14:textId="4AF63C2A" w:rsidR="00C9454B" w:rsidRDefault="00C9454B" w:rsidP="00F41526">
            <w:pPr>
              <w:rPr>
                <w:rFonts w:ascii="Arial" w:hAnsi="Arial" w:cs="Arial"/>
              </w:rPr>
            </w:pPr>
          </w:p>
        </w:tc>
      </w:tr>
    </w:tbl>
    <w:p w14:paraId="475A3957" w14:textId="77777777" w:rsidR="00C9454B" w:rsidRDefault="00C9454B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3950B67" w14:textId="77777777" w:rsidR="00305D9B" w:rsidRDefault="00305D9B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E0116C1" w14:textId="77777777" w:rsidR="0050501C" w:rsidRDefault="0050501C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1389F48" w14:textId="332A69F7" w:rsidR="00066EBB" w:rsidRDefault="0050501C" w:rsidP="00066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Enhanced Transition arrangements </w:t>
      </w:r>
      <w:r w:rsidR="00066EBB">
        <w:rPr>
          <w:rFonts w:ascii="Arial" w:hAnsi="Arial" w:cs="Arial"/>
        </w:rPr>
        <w:t>can be put in place at both standard and non-standard transition points and</w:t>
      </w:r>
    </w:p>
    <w:p w14:paraId="176BA5BA" w14:textId="44433AA3" w:rsidR="00305D9B" w:rsidRDefault="0050501C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should </w:t>
      </w:r>
      <w:r w:rsidR="0029132F">
        <w:rPr>
          <w:rFonts w:ascii="Arial" w:hAnsi="Arial" w:cs="Arial"/>
        </w:rPr>
        <w:t>include</w:t>
      </w:r>
      <w:r>
        <w:rPr>
          <w:rFonts w:ascii="Arial" w:hAnsi="Arial" w:cs="Arial"/>
        </w:rPr>
        <w:t>:</w:t>
      </w:r>
    </w:p>
    <w:p w14:paraId="4A0DB926" w14:textId="77777777" w:rsidR="009C26F1" w:rsidRDefault="009C26F1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CF98177" w14:textId="231B70AA" w:rsidR="009C26F1" w:rsidRPr="0029132F" w:rsidRDefault="009C26F1" w:rsidP="009C26F1">
      <w:pPr>
        <w:pStyle w:val="Heading2"/>
        <w:rPr>
          <w:rFonts w:ascii="Arial" w:hAnsi="Arial" w:cs="Arial"/>
          <w:u w:val="single"/>
        </w:rPr>
      </w:pPr>
      <w:bookmarkStart w:id="9" w:name="_Advance_Information_Sharing"/>
      <w:bookmarkEnd w:id="9"/>
      <w:r w:rsidRPr="0029132F">
        <w:rPr>
          <w:rFonts w:ascii="Arial" w:hAnsi="Arial" w:cs="Arial"/>
          <w:u w:val="single"/>
        </w:rPr>
        <w:t>Advance Information Sharing</w:t>
      </w:r>
    </w:p>
    <w:p w14:paraId="1472C5BB" w14:textId="7C9C9C1E" w:rsidR="00CA6934" w:rsidRDefault="00E27CEB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Keeping Children Safe in Education </w:t>
      </w:r>
      <w:r w:rsidR="00DD7509">
        <w:rPr>
          <w:rFonts w:ascii="Arial" w:hAnsi="Arial" w:cs="Arial"/>
        </w:rPr>
        <w:t xml:space="preserve">allows </w:t>
      </w:r>
      <w:r w:rsidR="00DD7509" w:rsidRPr="00DD7509">
        <w:rPr>
          <w:rFonts w:ascii="Arial" w:hAnsi="Arial" w:cs="Arial"/>
          <w:lang w:val="en-US"/>
        </w:rPr>
        <w:t>the designated safeguarding lead</w:t>
      </w:r>
      <w:r w:rsidR="00DA3A3B">
        <w:rPr>
          <w:rFonts w:ascii="Arial" w:hAnsi="Arial" w:cs="Arial"/>
          <w:lang w:val="en-US"/>
        </w:rPr>
        <w:t xml:space="preserve"> (DSL)</w:t>
      </w:r>
      <w:r w:rsidR="00DD7509" w:rsidRPr="00DD7509">
        <w:rPr>
          <w:rFonts w:ascii="Arial" w:hAnsi="Arial" w:cs="Arial"/>
          <w:lang w:val="en-US"/>
        </w:rPr>
        <w:t xml:space="preserve"> </w:t>
      </w:r>
      <w:r w:rsidR="00DD7509">
        <w:rPr>
          <w:rFonts w:ascii="Arial" w:hAnsi="Arial" w:cs="Arial"/>
          <w:lang w:val="en-US"/>
        </w:rPr>
        <w:t>to share advance information with a child’s</w:t>
      </w:r>
      <w:r w:rsidR="00DD7509" w:rsidRPr="00DD7509">
        <w:rPr>
          <w:rFonts w:ascii="Arial" w:hAnsi="Arial" w:cs="Arial"/>
          <w:lang w:val="en-US"/>
        </w:rPr>
        <w:t xml:space="preserve"> new school or college </w:t>
      </w:r>
      <w:r w:rsidR="003822B3">
        <w:rPr>
          <w:rFonts w:ascii="Arial" w:hAnsi="Arial" w:cs="Arial"/>
          <w:lang w:val="en-US"/>
        </w:rPr>
        <w:t>“</w:t>
      </w:r>
      <w:r w:rsidR="00DD7509" w:rsidRPr="00DD7509">
        <w:rPr>
          <w:rFonts w:ascii="Arial" w:hAnsi="Arial" w:cs="Arial"/>
          <w:lang w:val="en-US"/>
        </w:rPr>
        <w:t>in advance of a child leaving to help them put in place the right support to safeguard this child and to help the child thrive in the school or college.</w:t>
      </w:r>
      <w:r w:rsidR="003822B3">
        <w:rPr>
          <w:rFonts w:ascii="Arial" w:hAnsi="Arial" w:cs="Arial"/>
          <w:lang w:val="en-US"/>
        </w:rPr>
        <w:t>” (Annex C)</w:t>
      </w:r>
      <w:r w:rsidR="00D43AE1">
        <w:rPr>
          <w:rFonts w:ascii="Arial" w:hAnsi="Arial" w:cs="Arial"/>
          <w:lang w:val="en-US"/>
        </w:rPr>
        <w:t>.</w:t>
      </w:r>
    </w:p>
    <w:p w14:paraId="4851588D" w14:textId="77777777" w:rsidR="00D43AE1" w:rsidRDefault="00D43AE1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62333EBE" w14:textId="65ADA32E" w:rsidR="001967AD" w:rsidRDefault="00BD3496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The following templates ca</w:t>
      </w:r>
      <w:r w:rsidR="00DA7C05">
        <w:rPr>
          <w:rFonts w:ascii="Arial" w:hAnsi="Arial" w:cs="Arial"/>
          <w:lang w:val="en-US"/>
        </w:rPr>
        <w:t>n be used to support schools to share high level information</w:t>
      </w:r>
      <w:r w:rsidR="001967AD">
        <w:rPr>
          <w:rFonts w:ascii="Arial" w:hAnsi="Arial" w:cs="Arial"/>
          <w:lang w:val="en-US"/>
        </w:rPr>
        <w:t xml:space="preserve"> with the new education setting</w:t>
      </w:r>
      <w:r w:rsidR="007B3289">
        <w:rPr>
          <w:rFonts w:ascii="Arial" w:hAnsi="Arial" w:cs="Arial"/>
          <w:lang w:val="en-US"/>
        </w:rPr>
        <w:t xml:space="preserve"> along with the </w:t>
      </w:r>
      <w:hyperlink w:anchor="_Transfer_of_the" w:history="1">
        <w:r w:rsidR="007B3289" w:rsidRPr="007B3289">
          <w:rPr>
            <w:rStyle w:val="Hyperlink"/>
            <w:rFonts w:ascii="Arial" w:hAnsi="Arial" w:cs="Arial"/>
            <w:lang w:val="en-US"/>
          </w:rPr>
          <w:t>Transfer of the child protection file</w:t>
        </w:r>
      </w:hyperlink>
      <w:r w:rsidR="00DA7C05">
        <w:rPr>
          <w:rFonts w:ascii="Arial" w:hAnsi="Arial" w:cs="Arial"/>
          <w:lang w:val="en-US"/>
        </w:rPr>
        <w:t xml:space="preserve"> </w:t>
      </w:r>
      <w:r w:rsidR="003A1088">
        <w:rPr>
          <w:rFonts w:ascii="Arial" w:hAnsi="Arial" w:cs="Arial"/>
          <w:lang w:val="en-US"/>
        </w:rPr>
        <w:t>and any other important information (such as</w:t>
      </w:r>
      <w:r w:rsidR="00246041">
        <w:rPr>
          <w:rFonts w:ascii="Arial" w:hAnsi="Arial" w:cs="Arial"/>
          <w:lang w:val="en-US"/>
        </w:rPr>
        <w:t xml:space="preserve"> Individual Health Care Plans; SEN Plans (including EHCP’s)</w:t>
      </w:r>
      <w:r w:rsidR="006B5187">
        <w:rPr>
          <w:rFonts w:ascii="Arial" w:hAnsi="Arial" w:cs="Arial"/>
          <w:lang w:val="en-US"/>
        </w:rPr>
        <w:t xml:space="preserve"> </w:t>
      </w:r>
      <w:r w:rsidR="00DA7C05">
        <w:rPr>
          <w:rFonts w:ascii="Arial" w:hAnsi="Arial" w:cs="Arial"/>
          <w:lang w:val="en-US"/>
        </w:rPr>
        <w:t>in advance of a child</w:t>
      </w:r>
      <w:r w:rsidR="001967AD">
        <w:rPr>
          <w:rFonts w:ascii="Arial" w:hAnsi="Arial" w:cs="Arial"/>
          <w:lang w:val="en-US"/>
        </w:rPr>
        <w:t>(ren)</w:t>
      </w:r>
      <w:r w:rsidR="00DA7C05">
        <w:rPr>
          <w:rFonts w:ascii="Arial" w:hAnsi="Arial" w:cs="Arial"/>
          <w:lang w:val="en-US"/>
        </w:rPr>
        <w:t xml:space="preserve"> leaving</w:t>
      </w:r>
      <w:r w:rsidR="00C44929">
        <w:rPr>
          <w:rFonts w:ascii="Arial" w:hAnsi="Arial" w:cs="Arial"/>
          <w:lang w:val="en-US"/>
        </w:rPr>
        <w:t xml:space="preserve"> either at standard </w:t>
      </w:r>
      <w:r w:rsidR="00C44929" w:rsidRPr="00532F54">
        <w:rPr>
          <w:rFonts w:ascii="Arial" w:hAnsi="Arial" w:cs="Arial"/>
          <w:b/>
          <w:bCs/>
          <w:lang w:val="en-US"/>
        </w:rPr>
        <w:t xml:space="preserve">or </w:t>
      </w:r>
      <w:r w:rsidR="00C44929">
        <w:rPr>
          <w:rFonts w:ascii="Arial" w:hAnsi="Arial" w:cs="Arial"/>
          <w:lang w:val="en-US"/>
        </w:rPr>
        <w:t>non-standard transition points</w:t>
      </w:r>
      <w:r w:rsidR="001967AD">
        <w:rPr>
          <w:rFonts w:ascii="Arial" w:hAnsi="Arial" w:cs="Arial"/>
          <w:lang w:val="en-US"/>
        </w:rPr>
        <w:t>:</w:t>
      </w:r>
    </w:p>
    <w:p w14:paraId="4FF35EB4" w14:textId="77777777" w:rsidR="001967AD" w:rsidRDefault="001967AD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019066B1" w14:textId="6B2C7656" w:rsidR="00D43AE1" w:rsidRDefault="001C0581" w:rsidP="001C0581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hyperlink w:anchor="_Appendix_2:_" w:history="1">
        <w:r w:rsidRPr="001C0581">
          <w:rPr>
            <w:rStyle w:val="Hyperlink"/>
            <w:rFonts w:ascii="Arial" w:hAnsi="Arial" w:cs="Arial"/>
          </w:rPr>
          <w:t>Appendix 2:  High Level Concerns Form (Individual Children)</w:t>
        </w:r>
      </w:hyperlink>
    </w:p>
    <w:p w14:paraId="4C161CFE" w14:textId="7D2FF0E2" w:rsidR="001C0581" w:rsidRDefault="001C0581" w:rsidP="001C0581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hyperlink w:anchor="_Appendix_3:_" w:history="1">
        <w:r w:rsidRPr="001C0581">
          <w:rPr>
            <w:rStyle w:val="Hyperlink"/>
            <w:rFonts w:ascii="Arial" w:hAnsi="Arial" w:cs="Arial"/>
          </w:rPr>
          <w:t>Appendix 3:  Transition Support Table (Multiple Children)</w:t>
        </w:r>
      </w:hyperlink>
      <w:r w:rsidR="00066EBB">
        <w:rPr>
          <w:rStyle w:val="FootnoteReference"/>
          <w:rFonts w:ascii="Arial" w:hAnsi="Arial" w:cs="Arial"/>
        </w:rPr>
        <w:footnoteReference w:id="12"/>
      </w:r>
    </w:p>
    <w:p w14:paraId="3BC5F240" w14:textId="77777777" w:rsidR="0050501C" w:rsidRDefault="0050501C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0D37ED0" w14:textId="77777777" w:rsidR="0050501C" w:rsidRDefault="0050501C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74A05A7" w14:textId="7C7AAFFC" w:rsidR="007A5AC1" w:rsidRDefault="007A5AC1" w:rsidP="007A5AC1">
      <w:pPr>
        <w:pStyle w:val="Heading2"/>
        <w:rPr>
          <w:rFonts w:ascii="Arial" w:hAnsi="Arial" w:cs="Arial"/>
          <w:u w:val="single"/>
          <w:lang w:val="en-GB"/>
        </w:rPr>
      </w:pPr>
      <w:bookmarkStart w:id="10" w:name="_Other_enhanced_transition"/>
      <w:bookmarkEnd w:id="10"/>
      <w:r w:rsidRPr="00326C1D">
        <w:rPr>
          <w:rFonts w:ascii="Arial" w:hAnsi="Arial" w:cs="Arial"/>
          <w:u w:val="single"/>
          <w:lang w:val="en-GB"/>
        </w:rPr>
        <w:t xml:space="preserve">Other </w:t>
      </w:r>
      <w:r w:rsidR="003A5CB9">
        <w:rPr>
          <w:rFonts w:ascii="Arial" w:hAnsi="Arial" w:cs="Arial"/>
          <w:u w:val="single"/>
          <w:lang w:val="en-GB"/>
        </w:rPr>
        <w:t xml:space="preserve">enhanced </w:t>
      </w:r>
      <w:r w:rsidRPr="00326C1D">
        <w:rPr>
          <w:rFonts w:ascii="Arial" w:hAnsi="Arial" w:cs="Arial"/>
          <w:u w:val="single"/>
          <w:lang w:val="en-GB"/>
        </w:rPr>
        <w:t>transition arrangements</w:t>
      </w:r>
      <w:r>
        <w:rPr>
          <w:rFonts w:ascii="Arial" w:hAnsi="Arial" w:cs="Arial"/>
          <w:u w:val="single"/>
          <w:lang w:val="en-GB"/>
        </w:rPr>
        <w:t xml:space="preserve"> </w:t>
      </w:r>
    </w:p>
    <w:p w14:paraId="73E116DD" w14:textId="609CF860" w:rsidR="00D54896" w:rsidRDefault="00D54896" w:rsidP="00D54896">
      <w:pPr>
        <w:rPr>
          <w:rFonts w:ascii="Arial" w:hAnsi="Arial" w:cs="Arial"/>
        </w:rPr>
      </w:pPr>
      <w:r w:rsidRPr="4B153B5C">
        <w:rPr>
          <w:rFonts w:ascii="Arial" w:hAnsi="Arial" w:cs="Arial"/>
        </w:rPr>
        <w:t xml:space="preserve">In addition to </w:t>
      </w:r>
      <w:r>
        <w:rPr>
          <w:rFonts w:ascii="Arial" w:hAnsi="Arial" w:cs="Arial"/>
        </w:rPr>
        <w:t>advance information sharing</w:t>
      </w:r>
      <w:r w:rsidRPr="4B153B5C">
        <w:rPr>
          <w:rFonts w:ascii="Arial" w:hAnsi="Arial" w:cs="Arial"/>
        </w:rPr>
        <w:t xml:space="preserve"> as outlined above; other </w:t>
      </w:r>
      <w:r>
        <w:rPr>
          <w:rFonts w:ascii="Arial" w:hAnsi="Arial" w:cs="Arial"/>
        </w:rPr>
        <w:t xml:space="preserve">enhanced </w:t>
      </w:r>
      <w:r w:rsidRPr="4B153B5C">
        <w:rPr>
          <w:rFonts w:ascii="Arial" w:hAnsi="Arial" w:cs="Arial"/>
        </w:rPr>
        <w:t xml:space="preserve">transition arrangements should be considered to ensure </w:t>
      </w:r>
      <w:r>
        <w:rPr>
          <w:rFonts w:ascii="Arial" w:hAnsi="Arial" w:cs="Arial"/>
        </w:rPr>
        <w:t>a child and their family</w:t>
      </w:r>
      <w:r w:rsidRPr="4B153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receive bespoke support according to their needs</w:t>
      </w:r>
      <w:r w:rsidRPr="4B153B5C">
        <w:rPr>
          <w:rFonts w:ascii="Arial" w:hAnsi="Arial" w:cs="Arial"/>
        </w:rPr>
        <w:t xml:space="preserve"> at transition points.</w:t>
      </w:r>
      <w:r>
        <w:rPr>
          <w:rFonts w:ascii="Arial" w:hAnsi="Arial" w:cs="Arial"/>
        </w:rPr>
        <w:t xml:space="preserve"> </w:t>
      </w:r>
    </w:p>
    <w:p w14:paraId="1D370C4E" w14:textId="77777777" w:rsidR="00D54896" w:rsidRDefault="00D54896" w:rsidP="00D54896">
      <w:pPr>
        <w:rPr>
          <w:rFonts w:ascii="Arial" w:hAnsi="Arial" w:cs="Arial"/>
        </w:rPr>
      </w:pPr>
    </w:p>
    <w:p w14:paraId="63DFD517" w14:textId="77777777" w:rsidR="00D54896" w:rsidRDefault="00D54896" w:rsidP="00D54896">
      <w:pPr>
        <w:rPr>
          <w:rFonts w:ascii="Arial" w:hAnsi="Arial" w:cs="Arial"/>
        </w:rPr>
      </w:pPr>
      <w:r>
        <w:rPr>
          <w:rFonts w:ascii="Arial" w:hAnsi="Arial" w:cs="Arial"/>
        </w:rPr>
        <w:t>Examples of transition arrangements could include</w:t>
      </w:r>
      <w:r w:rsidRPr="4B153B5C">
        <w:rPr>
          <w:rFonts w:ascii="Arial" w:hAnsi="Arial" w:cs="Arial"/>
        </w:rPr>
        <w:t>:</w:t>
      </w:r>
    </w:p>
    <w:p w14:paraId="65609D83" w14:textId="77777777" w:rsidR="003A5CB9" w:rsidRDefault="003A5CB9" w:rsidP="007A5AC1">
      <w:pPr>
        <w:rPr>
          <w:rFonts w:ascii="Arial" w:hAnsi="Arial" w:cs="Arial"/>
          <w:highlight w:val="yellow"/>
          <w:lang w:val="en-GB"/>
        </w:rPr>
      </w:pPr>
    </w:p>
    <w:p w14:paraId="716CBED0" w14:textId="77777777" w:rsidR="00D54896" w:rsidRDefault="00D54896" w:rsidP="007A5AC1">
      <w:pPr>
        <w:rPr>
          <w:rFonts w:ascii="Arial" w:hAnsi="Arial" w:cs="Arial"/>
          <w:highlight w:val="yellow"/>
          <w:lang w:val="en-GB"/>
        </w:rPr>
      </w:pPr>
    </w:p>
    <w:p w14:paraId="1B2043FD" w14:textId="3BD477DE" w:rsidR="00E20272" w:rsidRPr="00D308E2" w:rsidRDefault="009A612A" w:rsidP="00E113B2">
      <w:pPr>
        <w:pStyle w:val="ListParagraph"/>
        <w:numPr>
          <w:ilvl w:val="0"/>
          <w:numId w:val="23"/>
        </w:numPr>
        <w:rPr>
          <w:rFonts w:ascii="Arial" w:hAnsi="Arial" w:cs="Arial"/>
          <w:lang w:val="en-GB"/>
        </w:rPr>
      </w:pPr>
      <w:r w:rsidRPr="00D308E2">
        <w:rPr>
          <w:rFonts w:ascii="Arial" w:hAnsi="Arial" w:cs="Arial"/>
          <w:lang w:val="en-GB"/>
        </w:rPr>
        <w:t>Transition Planning Meetings</w:t>
      </w:r>
      <w:r w:rsidR="00836647" w:rsidRPr="00D308E2">
        <w:rPr>
          <w:rFonts w:ascii="Arial" w:hAnsi="Arial" w:cs="Arial"/>
          <w:lang w:val="en-GB"/>
        </w:rPr>
        <w:t xml:space="preserve"> </w:t>
      </w:r>
      <w:r w:rsidR="00D308E2" w:rsidRPr="00D308E2">
        <w:rPr>
          <w:rFonts w:ascii="Arial" w:hAnsi="Arial" w:cs="Arial"/>
          <w:lang w:val="en-GB"/>
        </w:rPr>
        <w:t xml:space="preserve">should be held </w:t>
      </w:r>
      <w:r w:rsidR="00FF3EF9" w:rsidRPr="00D308E2">
        <w:rPr>
          <w:rFonts w:ascii="Arial" w:hAnsi="Arial" w:cs="Arial"/>
          <w:lang w:val="en-GB"/>
        </w:rPr>
        <w:t xml:space="preserve">to share information with the receiving provision and plan support </w:t>
      </w:r>
      <w:r w:rsidR="00E20272" w:rsidRPr="00D308E2">
        <w:rPr>
          <w:rFonts w:ascii="Arial" w:hAnsi="Arial" w:cs="Arial"/>
          <w:lang w:val="en-GB"/>
        </w:rPr>
        <w:t xml:space="preserve">for the child </w:t>
      </w:r>
      <w:r w:rsidR="00D308E2">
        <w:rPr>
          <w:rFonts w:ascii="Arial" w:hAnsi="Arial" w:cs="Arial"/>
          <w:lang w:val="en-GB"/>
        </w:rPr>
        <w:t xml:space="preserve">. </w:t>
      </w:r>
    </w:p>
    <w:p w14:paraId="2C34027A" w14:textId="77777777" w:rsidR="00046A80" w:rsidRDefault="00046A80" w:rsidP="00E20272">
      <w:pPr>
        <w:pStyle w:val="ListParagraph"/>
        <w:rPr>
          <w:rFonts w:ascii="Arial" w:hAnsi="Arial" w:cs="Arial"/>
          <w:lang w:val="en-GB"/>
        </w:rPr>
      </w:pPr>
    </w:p>
    <w:p w14:paraId="1A4AAF22" w14:textId="7CB44E7D" w:rsidR="00E20272" w:rsidRDefault="00E20272" w:rsidP="00E20272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child</w:t>
      </w:r>
      <w:r w:rsidR="000A52DA">
        <w:rPr>
          <w:rFonts w:ascii="Arial" w:hAnsi="Arial" w:cs="Arial"/>
          <w:lang w:val="en-GB"/>
        </w:rPr>
        <w:t>’s view should be included and according to their age and stage of development they should also be provided with the opportunity to attend</w:t>
      </w:r>
      <w:r w:rsidR="00D308E2">
        <w:rPr>
          <w:rFonts w:ascii="Arial" w:hAnsi="Arial" w:cs="Arial"/>
          <w:lang w:val="en-GB"/>
        </w:rPr>
        <w:t xml:space="preserve">. </w:t>
      </w:r>
    </w:p>
    <w:p w14:paraId="2D4D9C1A" w14:textId="77777777" w:rsidR="00046A80" w:rsidRDefault="00046A80" w:rsidP="00E20272">
      <w:pPr>
        <w:pStyle w:val="ListParagraph"/>
        <w:rPr>
          <w:rFonts w:ascii="Arial" w:hAnsi="Arial" w:cs="Arial"/>
          <w:lang w:val="en-GB"/>
        </w:rPr>
      </w:pPr>
    </w:p>
    <w:p w14:paraId="2C6F3A8A" w14:textId="27003F0F" w:rsidR="00046A80" w:rsidRDefault="00046A80" w:rsidP="00E20272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Parents/carers should be invited to attend and contribute</w:t>
      </w:r>
    </w:p>
    <w:p w14:paraId="6CF7E40E" w14:textId="77777777" w:rsidR="00E20272" w:rsidRDefault="00E20272" w:rsidP="00E20272">
      <w:pPr>
        <w:pStyle w:val="ListParagraph"/>
        <w:rPr>
          <w:rFonts w:ascii="Arial" w:hAnsi="Arial" w:cs="Arial"/>
          <w:lang w:val="en-GB"/>
        </w:rPr>
      </w:pPr>
    </w:p>
    <w:p w14:paraId="5CB5EAAB" w14:textId="77E5DF8E" w:rsidR="003A5CB9" w:rsidRDefault="001D1905" w:rsidP="00E20272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DSLs and other key staff </w:t>
      </w:r>
      <w:r w:rsidR="00164414">
        <w:rPr>
          <w:rFonts w:ascii="Arial" w:hAnsi="Arial" w:cs="Arial"/>
          <w:lang w:val="en-GB"/>
        </w:rPr>
        <w:t xml:space="preserve">from both settings should attend and contribute </w:t>
      </w:r>
      <w:r>
        <w:rPr>
          <w:rFonts w:ascii="Arial" w:hAnsi="Arial" w:cs="Arial"/>
          <w:lang w:val="en-GB"/>
        </w:rPr>
        <w:t>according to</w:t>
      </w:r>
      <w:r w:rsidR="00A75A93">
        <w:rPr>
          <w:rFonts w:ascii="Arial" w:hAnsi="Arial" w:cs="Arial"/>
          <w:lang w:val="en-GB"/>
        </w:rPr>
        <w:t xml:space="preserve"> the needs of the child</w:t>
      </w:r>
      <w:r>
        <w:rPr>
          <w:rFonts w:ascii="Arial" w:hAnsi="Arial" w:cs="Arial"/>
          <w:lang w:val="en-GB"/>
        </w:rPr>
        <w:t xml:space="preserve"> (e.g. SENDCo’s/Inclusion Support Leads etc)</w:t>
      </w:r>
      <w:r w:rsidR="00E20272">
        <w:rPr>
          <w:rFonts w:ascii="Arial" w:hAnsi="Arial" w:cs="Arial"/>
          <w:lang w:val="en-GB"/>
        </w:rPr>
        <w:t xml:space="preserve">. </w:t>
      </w:r>
    </w:p>
    <w:p w14:paraId="44B5B6D2" w14:textId="77777777" w:rsidR="00164414" w:rsidRDefault="00164414" w:rsidP="00E20272">
      <w:pPr>
        <w:pStyle w:val="ListParagraph"/>
        <w:rPr>
          <w:rFonts w:ascii="Arial" w:hAnsi="Arial" w:cs="Arial"/>
          <w:lang w:val="en-GB"/>
        </w:rPr>
      </w:pPr>
    </w:p>
    <w:p w14:paraId="721996E4" w14:textId="2BAB8B05" w:rsidR="00164414" w:rsidRDefault="00164414" w:rsidP="00E20272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Staff from other agencies should also be invited where there is a multi-agency plan in place for the child and/or family. </w:t>
      </w:r>
    </w:p>
    <w:p w14:paraId="716EB9CA" w14:textId="77777777" w:rsidR="004F2125" w:rsidRPr="001D1905" w:rsidRDefault="004F2125" w:rsidP="00E20272">
      <w:pPr>
        <w:pStyle w:val="ListParagraph"/>
        <w:rPr>
          <w:rFonts w:ascii="Arial" w:hAnsi="Arial" w:cs="Arial"/>
          <w:lang w:val="en-GB"/>
        </w:rPr>
      </w:pPr>
    </w:p>
    <w:p w14:paraId="4BC14C54" w14:textId="77777777" w:rsidR="00FE032E" w:rsidRDefault="00A61F96" w:rsidP="00FE032E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Individual Transition/Induction/Orientation Visits/Sessions for children (either before or at the beginning of a new phase). To enable children to spend time in the setting before they start; or where key staff from the setting they are going to come and visit the current setting to speak to children. </w:t>
      </w:r>
    </w:p>
    <w:p w14:paraId="5EA3E7EC" w14:textId="40FD2D57" w:rsidR="003A5CB9" w:rsidRPr="00FE032E" w:rsidRDefault="00A61F96" w:rsidP="00FE032E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FE032E">
        <w:rPr>
          <w:rFonts w:ascii="Arial" w:hAnsi="Arial" w:cs="Arial"/>
          <w:lang w:val="en-GB"/>
        </w:rPr>
        <w:t xml:space="preserve">Other </w:t>
      </w:r>
      <w:r w:rsidR="004F2125" w:rsidRPr="00FE032E">
        <w:rPr>
          <w:rFonts w:ascii="Arial" w:hAnsi="Arial" w:cs="Arial"/>
          <w:lang w:val="en-GB"/>
        </w:rPr>
        <w:t xml:space="preserve">individual </w:t>
      </w:r>
      <w:r w:rsidRPr="00FE032E">
        <w:rPr>
          <w:rFonts w:ascii="Arial" w:hAnsi="Arial" w:cs="Arial"/>
          <w:lang w:val="en-GB"/>
        </w:rPr>
        <w:t>preparedness activities</w:t>
      </w:r>
      <w:r w:rsidR="00FE032E" w:rsidRPr="00FE032E">
        <w:rPr>
          <w:rFonts w:ascii="Arial" w:hAnsi="Arial" w:cs="Arial"/>
          <w:lang w:val="en-GB"/>
        </w:rPr>
        <w:t>. This could include</w:t>
      </w:r>
      <w:r w:rsidRPr="00FE032E">
        <w:rPr>
          <w:rFonts w:ascii="Arial" w:hAnsi="Arial" w:cs="Arial"/>
          <w:lang w:val="en-GB"/>
        </w:rPr>
        <w:t xml:space="preserve"> providing opportunities for children to talk about their new settings</w:t>
      </w:r>
      <w:r w:rsidR="00545A4C" w:rsidRPr="00FE032E">
        <w:rPr>
          <w:rFonts w:ascii="Arial" w:hAnsi="Arial" w:cs="Arial"/>
          <w:lang w:val="en-GB"/>
        </w:rPr>
        <w:t xml:space="preserve"> and </w:t>
      </w:r>
      <w:r w:rsidR="00FE032E" w:rsidRPr="00FE032E">
        <w:rPr>
          <w:rFonts w:ascii="Arial" w:hAnsi="Arial" w:cs="Arial"/>
          <w:lang w:val="en-GB"/>
        </w:rPr>
        <w:t xml:space="preserve">discuss information they’d like </w:t>
      </w:r>
      <w:r w:rsidR="00545A4C" w:rsidRPr="00FE032E">
        <w:rPr>
          <w:rFonts w:ascii="Arial" w:hAnsi="Arial" w:cs="Arial"/>
          <w:lang w:val="en-GB"/>
        </w:rPr>
        <w:t>their class teachers/tutors</w:t>
      </w:r>
      <w:r w:rsidR="00FE032E" w:rsidRPr="00FE032E">
        <w:rPr>
          <w:rFonts w:ascii="Arial" w:hAnsi="Arial" w:cs="Arial"/>
          <w:lang w:val="en-GB"/>
        </w:rPr>
        <w:t>/support staff to know about them</w:t>
      </w:r>
    </w:p>
    <w:p w14:paraId="611993AD" w14:textId="77777777" w:rsidR="00673C5F" w:rsidRDefault="00673C5F" w:rsidP="007A5AC1">
      <w:pPr>
        <w:rPr>
          <w:lang w:val="en-GB"/>
        </w:rPr>
      </w:pPr>
    </w:p>
    <w:p w14:paraId="791A502A" w14:textId="77777777" w:rsidR="002572E6" w:rsidRDefault="002572E6" w:rsidP="007A5AC1">
      <w:pPr>
        <w:rPr>
          <w:rFonts w:ascii="Arial" w:eastAsia="Arial" w:hAnsi="Arial" w:cs="Arial"/>
          <w:i/>
          <w:iCs/>
        </w:rPr>
      </w:pPr>
    </w:p>
    <w:p w14:paraId="756285EE" w14:textId="5FCAA0F8" w:rsidR="002572E6" w:rsidRPr="005D73A1" w:rsidRDefault="002572E6" w:rsidP="002572E6">
      <w:pPr>
        <w:pStyle w:val="Heading1"/>
        <w:rPr>
          <w:rFonts w:ascii="Arial" w:hAnsi="Arial" w:cs="Arial"/>
        </w:rPr>
      </w:pPr>
      <w:bookmarkStart w:id="11" w:name="_Appendix:__Secondary"/>
      <w:bookmarkStart w:id="12" w:name="_Appendix_1:_"/>
      <w:bookmarkEnd w:id="11"/>
      <w:bookmarkEnd w:id="12"/>
      <w:r w:rsidRPr="005D73A1">
        <w:rPr>
          <w:rFonts w:ascii="Arial" w:hAnsi="Arial" w:cs="Arial"/>
        </w:rPr>
        <w:t>Appendix</w:t>
      </w:r>
      <w:r w:rsidR="00C20D26" w:rsidRPr="005D73A1">
        <w:rPr>
          <w:rFonts w:ascii="Arial" w:hAnsi="Arial" w:cs="Arial"/>
        </w:rPr>
        <w:t xml:space="preserve"> </w:t>
      </w:r>
      <w:r w:rsidR="0045257D" w:rsidRPr="005D73A1">
        <w:rPr>
          <w:rFonts w:ascii="Arial" w:hAnsi="Arial" w:cs="Arial"/>
        </w:rPr>
        <w:t>1</w:t>
      </w:r>
      <w:r w:rsidRPr="005D73A1">
        <w:rPr>
          <w:rFonts w:ascii="Arial" w:hAnsi="Arial" w:cs="Arial"/>
        </w:rPr>
        <w:t xml:space="preserve">:  Secondary to Post 16 Transition </w:t>
      </w:r>
      <w:r w:rsidR="00C20D26" w:rsidRPr="005D73A1">
        <w:rPr>
          <w:rFonts w:ascii="Arial" w:hAnsi="Arial" w:cs="Arial"/>
        </w:rPr>
        <w:t>Process</w:t>
      </w:r>
    </w:p>
    <w:p w14:paraId="7F943FDA" w14:textId="77777777" w:rsidR="002572E6" w:rsidRPr="007A5AC1" w:rsidRDefault="002572E6" w:rsidP="007A5AC1">
      <w:pPr>
        <w:rPr>
          <w:lang w:val="en-GB"/>
        </w:rPr>
      </w:pPr>
    </w:p>
    <w:p w14:paraId="41205C13" w14:textId="4667FE6C" w:rsidR="00F824BE" w:rsidRDefault="00833358" w:rsidP="00D574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order </w:t>
      </w:r>
      <w:r w:rsidR="00736837">
        <w:rPr>
          <w:rFonts w:ascii="Arial" w:hAnsi="Arial" w:cs="Arial"/>
        </w:rPr>
        <w:t xml:space="preserve">support a successful transition </w:t>
      </w:r>
      <w:r w:rsidR="00E94875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pupils moving from Year 11 into a Post 16 provision</w:t>
      </w:r>
      <w:r w:rsidR="00E94875">
        <w:rPr>
          <w:rFonts w:ascii="Arial" w:hAnsi="Arial" w:cs="Arial"/>
        </w:rPr>
        <w:t>; a transition process</w:t>
      </w:r>
      <w:r w:rsidR="00F824BE">
        <w:rPr>
          <w:rFonts w:ascii="Arial" w:hAnsi="Arial" w:cs="Arial"/>
        </w:rPr>
        <w:t>;</w:t>
      </w:r>
      <w:r w:rsidR="00BB213F">
        <w:rPr>
          <w:rFonts w:ascii="Arial" w:hAnsi="Arial" w:cs="Arial"/>
        </w:rPr>
        <w:t xml:space="preserve"> based on early and proactive information sharing and support</w:t>
      </w:r>
      <w:r w:rsidR="00E94875">
        <w:rPr>
          <w:rFonts w:ascii="Arial" w:hAnsi="Arial" w:cs="Arial"/>
        </w:rPr>
        <w:t xml:space="preserve"> has </w:t>
      </w:r>
      <w:r w:rsidR="00302D46">
        <w:rPr>
          <w:rFonts w:ascii="Arial" w:hAnsi="Arial" w:cs="Arial"/>
        </w:rPr>
        <w:t xml:space="preserve">now been set up in Shropshire to </w:t>
      </w:r>
      <w:r w:rsidR="00BB213F">
        <w:rPr>
          <w:rFonts w:ascii="Arial" w:hAnsi="Arial" w:cs="Arial"/>
        </w:rPr>
        <w:t xml:space="preserve">offer targeted </w:t>
      </w:r>
      <w:r w:rsidR="00302D46">
        <w:rPr>
          <w:rFonts w:ascii="Arial" w:hAnsi="Arial" w:cs="Arial"/>
        </w:rPr>
        <w:t>support young people</w:t>
      </w:r>
      <w:r w:rsidR="00BB213F">
        <w:rPr>
          <w:rFonts w:ascii="Arial" w:hAnsi="Arial" w:cs="Arial"/>
        </w:rPr>
        <w:t xml:space="preserve"> identified as </w:t>
      </w:r>
      <w:r w:rsidR="00E22343">
        <w:rPr>
          <w:rFonts w:ascii="Arial" w:hAnsi="Arial" w:cs="Arial"/>
        </w:rPr>
        <w:t xml:space="preserve">having </w:t>
      </w:r>
      <w:hyperlink w:anchor="_Children_with_educational" w:history="1">
        <w:r w:rsidR="00E22343" w:rsidRPr="00E22343">
          <w:rPr>
            <w:rStyle w:val="Hyperlink"/>
            <w:rFonts w:ascii="Arial" w:hAnsi="Arial" w:cs="Arial"/>
          </w:rPr>
          <w:t>educational vulnerabilities</w:t>
        </w:r>
      </w:hyperlink>
      <w:r w:rsidR="00302D46">
        <w:rPr>
          <w:rFonts w:ascii="Arial" w:hAnsi="Arial" w:cs="Arial"/>
        </w:rPr>
        <w:t xml:space="preserve"> into post 16 education, training </w:t>
      </w:r>
      <w:r w:rsidR="00F824BE">
        <w:rPr>
          <w:rFonts w:ascii="Arial" w:hAnsi="Arial" w:cs="Arial"/>
        </w:rPr>
        <w:t>and/or employment.</w:t>
      </w:r>
    </w:p>
    <w:p w14:paraId="6D5B3F2D" w14:textId="77777777" w:rsidR="00F824BE" w:rsidRDefault="00F824BE" w:rsidP="00D5744C">
      <w:pPr>
        <w:rPr>
          <w:rFonts w:ascii="Arial" w:hAnsi="Arial" w:cs="Arial"/>
        </w:rPr>
      </w:pPr>
    </w:p>
    <w:p w14:paraId="6AFCD9BE" w14:textId="5536E0A8" w:rsidR="00D5744C" w:rsidRPr="00FE032E" w:rsidRDefault="00D5744C" w:rsidP="00D5744C">
      <w:pPr>
        <w:rPr>
          <w:rFonts w:ascii="Arial" w:hAnsi="Arial" w:cs="Arial"/>
        </w:rPr>
      </w:pPr>
      <w:r w:rsidRPr="00FE032E">
        <w:rPr>
          <w:rFonts w:ascii="Arial" w:hAnsi="Arial" w:cs="Arial"/>
        </w:rPr>
        <w:t xml:space="preserve">The process </w:t>
      </w:r>
      <w:r w:rsidR="00FE3AD4">
        <w:rPr>
          <w:rFonts w:ascii="Arial" w:hAnsi="Arial" w:cs="Arial"/>
        </w:rPr>
        <w:t>runs</w:t>
      </w:r>
      <w:r w:rsidRPr="00FE032E">
        <w:rPr>
          <w:rFonts w:ascii="Arial" w:hAnsi="Arial" w:cs="Arial"/>
        </w:rPr>
        <w:t xml:space="preserve"> as follows:</w:t>
      </w:r>
    </w:p>
    <w:p w14:paraId="013A41F1" w14:textId="47AFF47B" w:rsidR="00D5744C" w:rsidRPr="00FE032E" w:rsidRDefault="00604FA2" w:rsidP="00D5744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The Local Authority Post 16 Team</w:t>
      </w:r>
      <w:r w:rsidR="000C7C5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C7C5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equest all secondary schools identify </w:t>
      </w:r>
      <w:r w:rsidR="00D5744C" w:rsidRPr="00FE032E">
        <w:rPr>
          <w:rFonts w:ascii="Arial" w:hAnsi="Arial" w:cs="Arial"/>
        </w:rPr>
        <w:t xml:space="preserve">those students who may find transition more difficult through </w:t>
      </w:r>
      <w:r>
        <w:rPr>
          <w:rFonts w:ascii="Arial" w:hAnsi="Arial" w:cs="Arial"/>
        </w:rPr>
        <w:t>a</w:t>
      </w:r>
      <w:r w:rsidR="00D5744C" w:rsidRPr="00FE032E">
        <w:rPr>
          <w:rFonts w:ascii="Arial" w:hAnsi="Arial" w:cs="Arial"/>
        </w:rPr>
        <w:t xml:space="preserve"> secure SharePoint system by early July. </w:t>
      </w:r>
      <w:hyperlink w:anchor="_Appendix_3:_" w:history="1">
        <w:r w:rsidR="00613E59" w:rsidRPr="00613E59">
          <w:rPr>
            <w:rStyle w:val="Hyperlink"/>
            <w:rFonts w:ascii="Arial" w:hAnsi="Arial" w:cs="Arial"/>
          </w:rPr>
          <w:t>Appendix 3:  Transition Support Table (Multiple Children )</w:t>
        </w:r>
      </w:hyperlink>
      <w:r w:rsidR="00613E59">
        <w:rPr>
          <w:rFonts w:ascii="Arial" w:hAnsi="Arial" w:cs="Arial"/>
        </w:rPr>
        <w:t xml:space="preserve"> </w:t>
      </w:r>
      <w:r w:rsidR="00D5744C" w:rsidRPr="00FE032E">
        <w:rPr>
          <w:rFonts w:ascii="Arial" w:hAnsi="Arial" w:cs="Arial"/>
        </w:rPr>
        <w:t xml:space="preserve">from the Post 16 Team will be </w:t>
      </w:r>
      <w:r>
        <w:rPr>
          <w:rFonts w:ascii="Arial" w:hAnsi="Arial" w:cs="Arial"/>
        </w:rPr>
        <w:t>sent for completion</w:t>
      </w:r>
      <w:r w:rsidR="00D5744C" w:rsidRPr="00FE032E">
        <w:rPr>
          <w:rFonts w:ascii="Arial" w:hAnsi="Arial" w:cs="Arial"/>
        </w:rPr>
        <w:t>.</w:t>
      </w:r>
    </w:p>
    <w:p w14:paraId="33006E07" w14:textId="36A64F21" w:rsidR="00D5744C" w:rsidRPr="00FE032E" w:rsidRDefault="00604FA2" w:rsidP="00D5744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Local Authority Post 16 </w:t>
      </w:r>
      <w:r w:rsidR="000C7C52">
        <w:rPr>
          <w:rFonts w:ascii="Arial" w:hAnsi="Arial" w:cs="Arial"/>
        </w:rPr>
        <w:t>Team: A</w:t>
      </w:r>
      <w:r w:rsidR="00D5744C" w:rsidRPr="00FE032E">
        <w:rPr>
          <w:rFonts w:ascii="Arial" w:hAnsi="Arial" w:cs="Arial"/>
        </w:rPr>
        <w:t>ll students who are identified will have their September Guarantee (SG) status checked by the Post 16 team and</w:t>
      </w:r>
      <w:r w:rsidR="00465DC7">
        <w:rPr>
          <w:rFonts w:ascii="Arial" w:hAnsi="Arial" w:cs="Arial"/>
        </w:rPr>
        <w:t xml:space="preserve"> will</w:t>
      </w:r>
      <w:r w:rsidR="00D5744C" w:rsidRPr="00FE032E">
        <w:rPr>
          <w:rFonts w:ascii="Arial" w:hAnsi="Arial" w:cs="Arial"/>
        </w:rPr>
        <w:t xml:space="preserve"> then </w:t>
      </w:r>
      <w:proofErr w:type="spellStart"/>
      <w:r w:rsidR="00D5744C" w:rsidRPr="00FE032E">
        <w:rPr>
          <w:rFonts w:ascii="Arial" w:hAnsi="Arial" w:cs="Arial"/>
        </w:rPr>
        <w:t>categorised</w:t>
      </w:r>
      <w:proofErr w:type="spellEnd"/>
      <w:r w:rsidR="00D5744C" w:rsidRPr="00FE032E">
        <w:rPr>
          <w:rFonts w:ascii="Arial" w:hAnsi="Arial" w:cs="Arial"/>
        </w:rPr>
        <w:t xml:space="preserve"> for priority. </w:t>
      </w:r>
    </w:p>
    <w:p w14:paraId="3289D438" w14:textId="77777777" w:rsidR="00D5744C" w:rsidRPr="00FE032E" w:rsidRDefault="00D5744C" w:rsidP="00465DC7">
      <w:pPr>
        <w:pStyle w:val="ListParagraph"/>
        <w:numPr>
          <w:ilvl w:val="1"/>
          <w:numId w:val="21"/>
        </w:numPr>
        <w:spacing w:after="160" w:line="259" w:lineRule="auto"/>
        <w:rPr>
          <w:rFonts w:ascii="Arial" w:hAnsi="Arial" w:cs="Arial"/>
        </w:rPr>
      </w:pPr>
      <w:r w:rsidRPr="00FE032E">
        <w:rPr>
          <w:rFonts w:ascii="Arial" w:hAnsi="Arial" w:cs="Arial"/>
        </w:rPr>
        <w:t>Category 1 – most concerning that have no SG on the system and other vulnerable characteristics.</w:t>
      </w:r>
    </w:p>
    <w:p w14:paraId="6C9F26DE" w14:textId="77777777" w:rsidR="00D5744C" w:rsidRPr="00FE032E" w:rsidRDefault="00D5744C" w:rsidP="00465DC7">
      <w:pPr>
        <w:pStyle w:val="ListParagraph"/>
        <w:numPr>
          <w:ilvl w:val="1"/>
          <w:numId w:val="21"/>
        </w:numPr>
        <w:spacing w:after="160" w:line="259" w:lineRule="auto"/>
        <w:rPr>
          <w:rFonts w:ascii="Arial" w:hAnsi="Arial" w:cs="Arial"/>
        </w:rPr>
      </w:pPr>
      <w:r w:rsidRPr="00FE032E">
        <w:rPr>
          <w:rFonts w:ascii="Arial" w:hAnsi="Arial" w:cs="Arial"/>
        </w:rPr>
        <w:t xml:space="preserve">Category 2 – have a SG on the system and a vulnerable characteristic. </w:t>
      </w:r>
    </w:p>
    <w:p w14:paraId="30A315E3" w14:textId="222DC3AB" w:rsidR="00D5744C" w:rsidRPr="00FE032E" w:rsidRDefault="00E84FA7" w:rsidP="00D5744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Local Authority </w:t>
      </w:r>
      <w:hyperlink r:id="rId29" w:history="1">
        <w:r w:rsidR="00F115B1">
          <w:rPr>
            <w:rStyle w:val="Hyperlink"/>
            <w:rFonts w:ascii="Arial" w:hAnsi="Arial" w:cs="Arial"/>
          </w:rPr>
          <w:t>Post 16</w:t>
        </w:r>
        <w:r w:rsidR="007E2D94" w:rsidRPr="007E2D94">
          <w:rPr>
            <w:rStyle w:val="Hyperlink"/>
            <w:rFonts w:ascii="Arial" w:hAnsi="Arial" w:cs="Arial"/>
          </w:rPr>
          <w:t xml:space="preserve"> Team</w:t>
        </w:r>
      </w:hyperlink>
      <w:r w:rsidR="007E2D94">
        <w:rPr>
          <w:rFonts w:ascii="Arial" w:hAnsi="Arial" w:cs="Arial"/>
        </w:rPr>
        <w:t xml:space="preserve"> will contact young people</w:t>
      </w:r>
      <w:r w:rsidR="00D5744C" w:rsidRPr="00FE032E">
        <w:rPr>
          <w:rFonts w:ascii="Arial" w:hAnsi="Arial" w:cs="Arial"/>
        </w:rPr>
        <w:t xml:space="preserve"> to identify a plan and be supported to apply. This will take place over the months of July and August, with our Core+ tracking system updated to confirm these next steps.</w:t>
      </w:r>
    </w:p>
    <w:p w14:paraId="5E934A19" w14:textId="77777777" w:rsidR="00034CA7" w:rsidRDefault="00D5744C" w:rsidP="00D5744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 w:rsidRPr="00FE032E">
        <w:rPr>
          <w:rFonts w:ascii="Arial" w:hAnsi="Arial" w:cs="Arial"/>
        </w:rPr>
        <w:t xml:space="preserve">In September, all next steps providers will be contacted to confirm that the YP has started as expected. </w:t>
      </w:r>
    </w:p>
    <w:p w14:paraId="329D12B9" w14:textId="77777777" w:rsidR="003B6D60" w:rsidRDefault="00034CA7" w:rsidP="00D5744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The Local Authority Post 16 Team share the Transition Support information provided by secondary schools with Post 16 providers</w:t>
      </w:r>
      <w:r w:rsidR="003B6D60">
        <w:rPr>
          <w:rFonts w:ascii="Arial" w:hAnsi="Arial" w:cs="Arial"/>
        </w:rPr>
        <w:t xml:space="preserve"> once the young person is confirmed as having started.</w:t>
      </w:r>
    </w:p>
    <w:p w14:paraId="29B4FD55" w14:textId="77777777" w:rsidR="009E40DF" w:rsidRDefault="003B6D60" w:rsidP="00D5744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Secondary schools are still expected to follow the requirements of KCSiE with regards to sharing the Child Protection File</w:t>
      </w:r>
      <w:r w:rsidR="009E40DF">
        <w:rPr>
          <w:rFonts w:ascii="Arial" w:hAnsi="Arial" w:cs="Arial"/>
        </w:rPr>
        <w:t xml:space="preserve"> and are encouraged to use this wider guidance to further enhance their practice.</w:t>
      </w:r>
    </w:p>
    <w:p w14:paraId="7B8B71AA" w14:textId="6FAD9864" w:rsidR="00D5744C" w:rsidRDefault="00D5744C" w:rsidP="00D5744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 w:rsidRPr="00FE032E">
        <w:rPr>
          <w:rFonts w:ascii="Arial" w:hAnsi="Arial" w:cs="Arial"/>
        </w:rPr>
        <w:lastRenderedPageBreak/>
        <w:t xml:space="preserve">Where </w:t>
      </w:r>
      <w:r w:rsidR="009E40DF">
        <w:rPr>
          <w:rFonts w:ascii="Arial" w:hAnsi="Arial" w:cs="Arial"/>
        </w:rPr>
        <w:t xml:space="preserve">young people have not </w:t>
      </w:r>
      <w:r w:rsidR="00492D56">
        <w:rPr>
          <w:rFonts w:ascii="Arial" w:hAnsi="Arial" w:cs="Arial"/>
        </w:rPr>
        <w:t xml:space="preserve">started with a Post 16 provider as expected; </w:t>
      </w:r>
      <w:r w:rsidRPr="00FE032E">
        <w:rPr>
          <w:rFonts w:ascii="Arial" w:hAnsi="Arial" w:cs="Arial"/>
        </w:rPr>
        <w:t xml:space="preserve">there will be renewed contact by the </w:t>
      </w:r>
      <w:r w:rsidR="00492D56">
        <w:rPr>
          <w:rFonts w:ascii="Arial" w:hAnsi="Arial" w:cs="Arial"/>
        </w:rPr>
        <w:t xml:space="preserve">Local Authority </w:t>
      </w:r>
      <w:hyperlink r:id="rId30" w:history="1">
        <w:r w:rsidR="00F115B1">
          <w:rPr>
            <w:rStyle w:val="Hyperlink"/>
            <w:rFonts w:ascii="Arial" w:hAnsi="Arial" w:cs="Arial"/>
          </w:rPr>
          <w:t>Post 16</w:t>
        </w:r>
        <w:r w:rsidR="00F115B1" w:rsidRPr="007E2D94">
          <w:rPr>
            <w:rStyle w:val="Hyperlink"/>
            <w:rFonts w:ascii="Arial" w:hAnsi="Arial" w:cs="Arial"/>
          </w:rPr>
          <w:t xml:space="preserve"> Team</w:t>
        </w:r>
      </w:hyperlink>
      <w:r w:rsidR="00F115B1">
        <w:rPr>
          <w:rFonts w:ascii="Arial" w:hAnsi="Arial" w:cs="Arial"/>
        </w:rPr>
        <w:t xml:space="preserve"> </w:t>
      </w:r>
      <w:r w:rsidR="00492D56">
        <w:rPr>
          <w:rFonts w:ascii="Arial" w:hAnsi="Arial" w:cs="Arial"/>
        </w:rPr>
        <w:t xml:space="preserve"> </w:t>
      </w:r>
      <w:r w:rsidRPr="00FE032E">
        <w:rPr>
          <w:rFonts w:ascii="Arial" w:hAnsi="Arial" w:cs="Arial"/>
        </w:rPr>
        <w:t>to ensure that placements are found during the month of September to ensure that as many YP as possible are engaged in successful provision by mid-October.</w:t>
      </w:r>
    </w:p>
    <w:p w14:paraId="6A43CF85" w14:textId="03E538FF" w:rsidR="00FD3504" w:rsidRPr="00FE032E" w:rsidRDefault="00F115B1" w:rsidP="00D5744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From</w:t>
      </w:r>
      <w:r w:rsidR="00FD3504">
        <w:rPr>
          <w:rFonts w:ascii="Arial" w:hAnsi="Arial" w:cs="Arial"/>
        </w:rPr>
        <w:t xml:space="preserve"> 2025 schools will be asked to identify any students on their list with ASD / Neuro-diversity so that they can receive support via the Education Psychology team practitioners (where possible)</w:t>
      </w:r>
    </w:p>
    <w:p w14:paraId="5C848CA2" w14:textId="77777777" w:rsidR="0050501C" w:rsidRDefault="0050501C" w:rsidP="4AD5B8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171F0C9" w14:textId="2E874B35" w:rsidR="001967AD" w:rsidRPr="00FE032E" w:rsidRDefault="00D468E2" w:rsidP="00FE032E">
      <w:pPr>
        <w:pStyle w:val="paragraph"/>
        <w:rPr>
          <w:rFonts w:ascii="Arial" w:eastAsiaTheme="majorEastAsia" w:hAnsi="Arial" w:cs="Arial"/>
          <w:color w:val="365F91" w:themeColor="accent1" w:themeShade="BF"/>
          <w:sz w:val="32"/>
          <w:szCs w:val="32"/>
          <w:lang w:eastAsia="en-US"/>
        </w:rPr>
      </w:pPr>
      <w:r w:rsidRPr="00D468E2">
        <w:rPr>
          <w:rFonts w:ascii="Arial" w:hAnsi="Arial" w:cs="Arial"/>
          <w:lang w:val="en-US"/>
        </w:rPr>
        <w:t> </w:t>
      </w:r>
      <w:bookmarkStart w:id="13" w:name="_Appendix_2:_"/>
      <w:bookmarkEnd w:id="13"/>
      <w:r w:rsidR="001967AD" w:rsidRPr="00FE032E">
        <w:rPr>
          <w:rFonts w:ascii="Arial" w:eastAsiaTheme="majorEastAsia" w:hAnsi="Arial" w:cs="Arial"/>
          <w:color w:val="365F91" w:themeColor="accent1" w:themeShade="BF"/>
          <w:sz w:val="32"/>
          <w:szCs w:val="32"/>
          <w:lang w:eastAsia="en-US"/>
        </w:rPr>
        <w:t>Appendix 2:  High Level Concerns Form (Individual Children)</w:t>
      </w:r>
    </w:p>
    <w:p w14:paraId="106F53EF" w14:textId="7AA4879E" w:rsidR="00CA6934" w:rsidRDefault="00ED3F96" w:rsidP="007D500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Please access at </w:t>
      </w:r>
      <w:hyperlink r:id="rId31" w:history="1">
        <w:r w:rsidRPr="00ED3F96">
          <w:rPr>
            <w:rStyle w:val="Hyperlink"/>
            <w:rFonts w:ascii="Arial" w:hAnsi="Arial" w:cs="Arial"/>
            <w:lang w:val="en-US"/>
          </w:rPr>
          <w:t>Shropshire Transition in Education Guidance (safeguarding children at educational transition points) | Shropshire Learning Gateway</w:t>
        </w:r>
      </w:hyperlink>
      <w:r>
        <w:rPr>
          <w:rFonts w:ascii="Arial" w:hAnsi="Arial" w:cs="Arial"/>
        </w:rPr>
        <w:t>.</w:t>
      </w:r>
    </w:p>
    <w:p w14:paraId="7DB74EFD" w14:textId="6FCA574B" w:rsidR="001967AD" w:rsidRDefault="001967AD" w:rsidP="001967AD">
      <w:pPr>
        <w:pStyle w:val="Heading1"/>
        <w:rPr>
          <w:rFonts w:ascii="Arial" w:hAnsi="Arial" w:cs="Arial"/>
        </w:rPr>
      </w:pPr>
      <w:bookmarkStart w:id="14" w:name="_Appendix_3:_"/>
      <w:bookmarkEnd w:id="14"/>
      <w:r w:rsidRPr="005D73A1">
        <w:rPr>
          <w:rFonts w:ascii="Arial" w:hAnsi="Arial" w:cs="Arial"/>
        </w:rPr>
        <w:t>Appendix 3:  Transition Support Table (Multiple Children)</w:t>
      </w:r>
    </w:p>
    <w:p w14:paraId="64FDBDB1" w14:textId="77777777" w:rsidR="00ED3F96" w:rsidRDefault="00ED3F96" w:rsidP="00ED3F96">
      <w:pPr>
        <w:rPr>
          <w:lang w:val="en-GB"/>
        </w:rPr>
      </w:pPr>
    </w:p>
    <w:p w14:paraId="596A7469" w14:textId="77777777" w:rsidR="00ED3F96" w:rsidRDefault="00ED3F96" w:rsidP="00ED3F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Please access at </w:t>
      </w:r>
      <w:hyperlink r:id="rId32" w:history="1">
        <w:r w:rsidRPr="00ED3F96">
          <w:rPr>
            <w:rStyle w:val="Hyperlink"/>
            <w:rFonts w:ascii="Arial" w:hAnsi="Arial" w:cs="Arial"/>
            <w:lang w:val="en-US"/>
          </w:rPr>
          <w:t>Shropshire Transition in Education Guidance (safeguarding children at educational transition points) | Shropshire Learning Gateway</w:t>
        </w:r>
      </w:hyperlink>
      <w:r>
        <w:rPr>
          <w:rFonts w:ascii="Arial" w:hAnsi="Arial" w:cs="Arial"/>
        </w:rPr>
        <w:t>.</w:t>
      </w:r>
    </w:p>
    <w:p w14:paraId="745C907F" w14:textId="735CA62F" w:rsidR="00ED3F96" w:rsidRPr="00ED3F96" w:rsidRDefault="00ED3F96" w:rsidP="00ED3F96">
      <w:pPr>
        <w:rPr>
          <w:lang w:val="en-GB"/>
        </w:rPr>
      </w:pPr>
    </w:p>
    <w:p w14:paraId="70241D1C" w14:textId="1F721FD3" w:rsidR="007D5008" w:rsidRPr="00136D36" w:rsidRDefault="007D5008" w:rsidP="007D5008">
      <w:pPr>
        <w:rPr>
          <w:i/>
          <w:iCs/>
          <w:lang w:val="en-GB"/>
        </w:rPr>
      </w:pPr>
    </w:p>
    <w:sectPr w:rsidR="007D5008" w:rsidRPr="00136D36" w:rsidSect="0098591B">
      <w:headerReference w:type="default" r:id="rId33"/>
      <w:footerReference w:type="default" r:id="rId34"/>
      <w:headerReference w:type="first" r:id="rId35"/>
      <w:footerReference w:type="first" r:id="rId36"/>
      <w:pgSz w:w="16840" w:h="11900" w:orient="landscape"/>
      <w:pgMar w:top="1134" w:right="2835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3C59" w14:textId="77777777" w:rsidR="0059152E" w:rsidRDefault="0059152E" w:rsidP="00580E18">
      <w:r>
        <w:separator/>
      </w:r>
    </w:p>
  </w:endnote>
  <w:endnote w:type="continuationSeparator" w:id="0">
    <w:p w14:paraId="6382E411" w14:textId="77777777" w:rsidR="0059152E" w:rsidRDefault="0059152E" w:rsidP="00580E18">
      <w:r>
        <w:continuationSeparator/>
      </w:r>
    </w:p>
  </w:endnote>
  <w:endnote w:type="continuationNotice" w:id="1">
    <w:p w14:paraId="1B10240A" w14:textId="77777777" w:rsidR="0059152E" w:rsidRDefault="00591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92AA88D" w14:paraId="5262D9EA" w14:textId="77777777" w:rsidTr="792AA88D">
      <w:tc>
        <w:tcPr>
          <w:tcW w:w="3305" w:type="dxa"/>
        </w:tcPr>
        <w:p w14:paraId="137A7B66" w14:textId="4964A111" w:rsidR="792AA88D" w:rsidRDefault="792AA88D" w:rsidP="792AA88D">
          <w:pPr>
            <w:pStyle w:val="Header"/>
            <w:ind w:left="-115"/>
          </w:pPr>
        </w:p>
      </w:tc>
      <w:tc>
        <w:tcPr>
          <w:tcW w:w="3305" w:type="dxa"/>
        </w:tcPr>
        <w:p w14:paraId="23DEF91D" w14:textId="1520A5A5" w:rsidR="792AA88D" w:rsidRDefault="792AA88D" w:rsidP="792AA88D">
          <w:pPr>
            <w:pStyle w:val="Header"/>
            <w:jc w:val="center"/>
          </w:pPr>
        </w:p>
      </w:tc>
      <w:tc>
        <w:tcPr>
          <w:tcW w:w="3305" w:type="dxa"/>
        </w:tcPr>
        <w:p w14:paraId="520CB5D6" w14:textId="2130A3BE" w:rsidR="792AA88D" w:rsidRDefault="792AA88D" w:rsidP="792AA88D">
          <w:pPr>
            <w:pStyle w:val="Header"/>
            <w:ind w:right="-115"/>
            <w:jc w:val="right"/>
          </w:pPr>
        </w:p>
      </w:tc>
    </w:tr>
  </w:tbl>
  <w:p w14:paraId="1A68CB17" w14:textId="3F131A2B" w:rsidR="792AA88D" w:rsidRDefault="792AA88D" w:rsidP="792AA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92AA88D" w14:paraId="38FA6E27" w14:textId="77777777" w:rsidTr="792AA88D">
      <w:tc>
        <w:tcPr>
          <w:tcW w:w="3305" w:type="dxa"/>
        </w:tcPr>
        <w:p w14:paraId="3624EB35" w14:textId="612291E0" w:rsidR="792AA88D" w:rsidRDefault="792AA88D" w:rsidP="792AA88D">
          <w:pPr>
            <w:pStyle w:val="Header"/>
            <w:ind w:left="-115"/>
          </w:pPr>
        </w:p>
      </w:tc>
      <w:tc>
        <w:tcPr>
          <w:tcW w:w="3305" w:type="dxa"/>
        </w:tcPr>
        <w:p w14:paraId="15EB01E9" w14:textId="70E55ACB" w:rsidR="792AA88D" w:rsidRDefault="792AA88D" w:rsidP="792AA88D">
          <w:pPr>
            <w:pStyle w:val="Header"/>
            <w:jc w:val="center"/>
          </w:pPr>
        </w:p>
      </w:tc>
      <w:tc>
        <w:tcPr>
          <w:tcW w:w="3305" w:type="dxa"/>
        </w:tcPr>
        <w:p w14:paraId="46A37313" w14:textId="23FD47B5" w:rsidR="792AA88D" w:rsidRDefault="792AA88D" w:rsidP="792AA88D">
          <w:pPr>
            <w:pStyle w:val="Header"/>
            <w:ind w:right="-115"/>
            <w:jc w:val="right"/>
          </w:pPr>
        </w:p>
      </w:tc>
    </w:tr>
  </w:tbl>
  <w:p w14:paraId="2ED05A17" w14:textId="7E084AAD" w:rsidR="792AA88D" w:rsidRDefault="792AA88D" w:rsidP="792AA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C4D2" w14:textId="77777777" w:rsidR="0059152E" w:rsidRDefault="0059152E" w:rsidP="00580E18">
      <w:r>
        <w:separator/>
      </w:r>
    </w:p>
  </w:footnote>
  <w:footnote w:type="continuationSeparator" w:id="0">
    <w:p w14:paraId="1B8793DC" w14:textId="77777777" w:rsidR="0059152E" w:rsidRDefault="0059152E" w:rsidP="00580E18">
      <w:r>
        <w:continuationSeparator/>
      </w:r>
    </w:p>
  </w:footnote>
  <w:footnote w:type="continuationNotice" w:id="1">
    <w:p w14:paraId="28C02EAC" w14:textId="77777777" w:rsidR="0059152E" w:rsidRDefault="0059152E"/>
  </w:footnote>
  <w:footnote w:id="2">
    <w:p w14:paraId="1279BBB8" w14:textId="60CFA7B7" w:rsidR="00201B07" w:rsidRPr="00201B07" w:rsidRDefault="00201B0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Agreed at </w:t>
      </w:r>
      <w:r w:rsidR="00E80E15">
        <w:rPr>
          <w:lang w:val="en-GB"/>
        </w:rPr>
        <w:t>Shropshire Education Partnership Board 13.6.2025</w:t>
      </w:r>
      <w:r w:rsidR="00D264D4">
        <w:rPr>
          <w:lang w:val="en-GB"/>
        </w:rPr>
        <w:t>.</w:t>
      </w:r>
    </w:p>
  </w:footnote>
  <w:footnote w:id="3">
    <w:p w14:paraId="7237E4AC" w14:textId="2BC7BB31" w:rsidR="005E1A99" w:rsidRPr="005E1A99" w:rsidRDefault="005E1A9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AA784A">
        <w:rPr>
          <w:lang w:val="en-GB"/>
        </w:rPr>
        <w:t>Safeguarding</w:t>
      </w:r>
      <w:r w:rsidR="007E18D6">
        <w:rPr>
          <w:lang w:val="en-GB"/>
        </w:rPr>
        <w:t xml:space="preserve"> and promoting welfare</w:t>
      </w:r>
      <w:r w:rsidR="00AA784A">
        <w:rPr>
          <w:lang w:val="en-GB"/>
        </w:rPr>
        <w:t xml:space="preserve"> is defined in </w:t>
      </w:r>
      <w:hyperlink r:id="rId1" w:history="1">
        <w:r w:rsidR="00AA784A" w:rsidRPr="00E51BDF">
          <w:rPr>
            <w:rStyle w:val="Hyperlink"/>
            <w:lang w:val="en-GB"/>
          </w:rPr>
          <w:t>Working Together to Safeguard Children</w:t>
        </w:r>
      </w:hyperlink>
      <w:r w:rsidR="00AA784A">
        <w:rPr>
          <w:lang w:val="en-GB"/>
        </w:rPr>
        <w:t xml:space="preserve"> (page</w:t>
      </w:r>
      <w:r w:rsidR="006E76EE">
        <w:rPr>
          <w:lang w:val="en-GB"/>
        </w:rPr>
        <w:t xml:space="preserve"> 7-8)</w:t>
      </w:r>
    </w:p>
  </w:footnote>
  <w:footnote w:id="4">
    <w:p w14:paraId="1206D5F5" w14:textId="10E9867A" w:rsidR="0056058D" w:rsidRPr="0056058D" w:rsidRDefault="0056058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For </w:t>
      </w:r>
      <w:r w:rsidR="00BC7DA0">
        <w:rPr>
          <w:lang w:val="en-GB"/>
        </w:rPr>
        <w:t xml:space="preserve">a minority of children, standard transition may take place at </w:t>
      </w:r>
      <w:r w:rsidR="001A085F">
        <w:rPr>
          <w:lang w:val="en-GB"/>
        </w:rPr>
        <w:t xml:space="preserve">aged 9/13 where there are middle/high schools arrangements or independent school arrangements. </w:t>
      </w:r>
    </w:p>
  </w:footnote>
  <w:footnote w:id="5">
    <w:p w14:paraId="486A2563" w14:textId="4BFC4BF9" w:rsidR="00340A0A" w:rsidRPr="00340A0A" w:rsidRDefault="00340A0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KCSiE Part 2: </w:t>
      </w:r>
      <w:r w:rsidR="00476E0F">
        <w:rPr>
          <w:lang w:val="en-GB"/>
        </w:rPr>
        <w:t xml:space="preserve">Children Potentially at greater risk of harm and </w:t>
      </w:r>
      <w:hyperlink r:id="rId2" w:history="1">
        <w:r w:rsidR="00EF5F1E">
          <w:rPr>
            <w:rStyle w:val="Hyperlink"/>
          </w:rPr>
          <w:t>Transitions : Mentally Healthy Schools</w:t>
        </w:r>
      </w:hyperlink>
    </w:p>
  </w:footnote>
  <w:footnote w:id="6">
    <w:p w14:paraId="44AE360B" w14:textId="487F33BE" w:rsidR="00240BF9" w:rsidRPr="00240BF9" w:rsidRDefault="00240BF9" w:rsidP="00240BF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Pr="00240BF9">
        <w:rPr>
          <w:rFonts w:asciiTheme="minorHAnsi" w:eastAsiaTheme="minorEastAsia" w:hAnsiTheme="minorHAnsi" w:cstheme="minorBidi"/>
          <w:sz w:val="20"/>
          <w:szCs w:val="20"/>
          <w:lang w:eastAsia="en-US"/>
        </w:rPr>
        <w:t>Education settings include: Ofsted registered early years and child providers, schools, colleges, and alternative education providers</w:t>
      </w:r>
      <w:r w:rsidR="003C7D90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who provide childcare and/or education for </w:t>
      </w:r>
      <w:r w:rsidR="00232AA8">
        <w:rPr>
          <w:rFonts w:asciiTheme="minorHAnsi" w:eastAsiaTheme="minorEastAsia" w:hAnsiTheme="minorHAnsi" w:cstheme="minorBidi"/>
          <w:sz w:val="20"/>
          <w:szCs w:val="20"/>
          <w:lang w:eastAsia="en-US"/>
        </w:rPr>
        <w:t>children of all ages</w:t>
      </w:r>
      <w:r w:rsidRPr="00240BF9">
        <w:rPr>
          <w:rFonts w:asciiTheme="minorHAnsi" w:eastAsiaTheme="minorEastAsia" w:hAnsiTheme="minorHAnsi" w:cstheme="minorBidi"/>
          <w:sz w:val="20"/>
          <w:szCs w:val="20"/>
          <w:lang w:eastAsia="en-US"/>
        </w:rPr>
        <w:t>.   </w:t>
      </w:r>
    </w:p>
    <w:p w14:paraId="6A5C0D80" w14:textId="77777777" w:rsidR="00240BF9" w:rsidRPr="0098470D" w:rsidRDefault="00240BF9" w:rsidP="00240BF9">
      <w:pPr>
        <w:rPr>
          <w:rFonts w:ascii="Arial" w:hAnsi="Arial" w:cs="Arial"/>
          <w:lang w:val="en-GB"/>
        </w:rPr>
      </w:pPr>
    </w:p>
    <w:p w14:paraId="39010197" w14:textId="687EC89B" w:rsidR="00240BF9" w:rsidRPr="00240BF9" w:rsidRDefault="00240BF9">
      <w:pPr>
        <w:pStyle w:val="FootnoteText"/>
        <w:rPr>
          <w:lang w:val="en-GB"/>
        </w:rPr>
      </w:pPr>
    </w:p>
  </w:footnote>
  <w:footnote w:id="7">
    <w:p w14:paraId="507F8D15" w14:textId="0697598F" w:rsidR="0059051D" w:rsidRPr="0059051D" w:rsidRDefault="0059051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For further guidance; refer to </w:t>
      </w:r>
      <w:hyperlink r:id="rId3" w:history="1">
        <w:r w:rsidRPr="0059051D">
          <w:rPr>
            <w:rStyle w:val="Hyperlink"/>
          </w:rPr>
          <w:t>Understanding and dealing with issues relating to parental responsibility - GOV.UK (www.gov.uk)</w:t>
        </w:r>
      </w:hyperlink>
    </w:p>
  </w:footnote>
  <w:footnote w:id="8">
    <w:p w14:paraId="0B77D499" w14:textId="46213D56" w:rsidR="00091420" w:rsidRPr="00765EEB" w:rsidRDefault="00091420">
      <w:pPr>
        <w:pStyle w:val="FootnoteText"/>
        <w:rPr>
          <w:i/>
          <w:iCs/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Please refer to SSCP </w:t>
      </w:r>
      <w:hyperlink r:id="rId4" w:history="1">
        <w:r w:rsidRPr="00091420">
          <w:rPr>
            <w:rStyle w:val="Hyperlink"/>
          </w:rPr>
          <w:t xml:space="preserve">Neglect tools and pathways </w:t>
        </w:r>
      </w:hyperlink>
      <w:r>
        <w:rPr>
          <w:lang w:val="en-GB"/>
        </w:rPr>
        <w:t>for further guidance</w:t>
      </w:r>
      <w:r w:rsidR="00765EEB">
        <w:rPr>
          <w:lang w:val="en-GB"/>
        </w:rPr>
        <w:t xml:space="preserve">. </w:t>
      </w:r>
      <w:r w:rsidR="00765EEB">
        <w:rPr>
          <w:i/>
          <w:iCs/>
          <w:lang w:val="en-GB"/>
        </w:rPr>
        <w:t xml:space="preserve">Educational Neglect will also be shortly addressed as part of the review of the SSCP Thresholds Document. </w:t>
      </w:r>
    </w:p>
  </w:footnote>
  <w:footnote w:id="9">
    <w:p w14:paraId="14F766C8" w14:textId="77777777" w:rsidR="000B731F" w:rsidRPr="00A21852" w:rsidRDefault="000B731F" w:rsidP="000B731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This applies to all schools regardless of their legal status are required by </w:t>
      </w:r>
      <w:hyperlink r:id="rId5" w:anchor=":~:text=The%20Education%20(Pupil%20Registration)%20(Amendment)%20(England)" w:history="1">
        <w:r w:rsidRPr="00A21852">
          <w:rPr>
            <w:rStyle w:val="Hyperlink"/>
          </w:rPr>
          <w:t>The Education (Pupil Registration) (England) Regulations 2006 (legislation.gov.uk)</w:t>
        </w:r>
      </w:hyperlink>
      <w:r>
        <w:rPr>
          <w:lang w:val="en-GB"/>
        </w:rPr>
        <w:t xml:space="preserve"> to notify the Local Authority </w:t>
      </w:r>
      <w:r w:rsidRPr="00E34718">
        <w:t>when pupils are added to and removed from the roll. Failure to abide by the requirements of the regulations or contravening them is a criminal offence under section 434(6) of the Education Act 1996. It is also a serious safeguarding issue</w:t>
      </w:r>
    </w:p>
  </w:footnote>
  <w:footnote w:id="10">
    <w:p w14:paraId="39136DBF" w14:textId="77777777" w:rsidR="00983D04" w:rsidRDefault="00983D04" w:rsidP="00983D04">
      <w:pPr>
        <w:pStyle w:val="FootnoteText"/>
        <w:rPr>
          <w:lang w:val="en-GB"/>
        </w:rPr>
      </w:pPr>
      <w:r w:rsidRPr="4AD5B864">
        <w:rPr>
          <w:rStyle w:val="FootnoteReference"/>
        </w:rPr>
        <w:footnoteRef/>
      </w:r>
      <w:r>
        <w:t xml:space="preserve"> </w:t>
      </w:r>
      <w:r w:rsidRPr="4AD5B864">
        <w:rPr>
          <w:lang w:val="en-GB"/>
        </w:rPr>
        <w:t xml:space="preserve">KCSiE Part 2: Children Potentially at greater risk of harm and </w:t>
      </w:r>
      <w:hyperlink r:id="rId6">
        <w:r w:rsidRPr="4AD5B864">
          <w:rPr>
            <w:rStyle w:val="Hyperlink"/>
          </w:rPr>
          <w:t>Transitions : Mentally Healthy Schools</w:t>
        </w:r>
      </w:hyperlink>
    </w:p>
  </w:footnote>
  <w:footnote w:id="11">
    <w:p w14:paraId="414DC407" w14:textId="6C4CE99E" w:rsidR="00A00B4A" w:rsidRPr="00765EEB" w:rsidRDefault="00A00B4A" w:rsidP="00A00B4A">
      <w:pPr>
        <w:pStyle w:val="FootnoteText"/>
        <w:rPr>
          <w:i/>
          <w:iCs/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Please refer to SSCP </w:t>
      </w:r>
      <w:hyperlink r:id="rId7" w:history="1">
        <w:r w:rsidRPr="00091420">
          <w:rPr>
            <w:rStyle w:val="Hyperlink"/>
          </w:rPr>
          <w:t xml:space="preserve">Neglect tools and pathways </w:t>
        </w:r>
      </w:hyperlink>
      <w:r>
        <w:rPr>
          <w:lang w:val="en-GB"/>
        </w:rPr>
        <w:t xml:space="preserve">for further guidance. </w:t>
      </w:r>
    </w:p>
  </w:footnote>
  <w:footnote w:id="12">
    <w:p w14:paraId="33390B3C" w14:textId="6A183073" w:rsidR="00066EBB" w:rsidRPr="00066EBB" w:rsidRDefault="00066EB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Please note this is a suggested template for Early Years, Primary providers; but is part of the local Secondary to Post 16 Transition Process.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FB62" w14:textId="124350E0" w:rsidR="00484C3A" w:rsidRDefault="00C66134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B8263D6" wp14:editId="55F6906D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812000" cy="10965600"/>
          <wp:effectExtent l="0" t="0" r="0" b="0"/>
          <wp:wrapNone/>
          <wp:docPr id="2" name="Picture 2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omputer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000" cy="109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72A6" w14:textId="3B936690" w:rsidR="00580E18" w:rsidRDefault="00C661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D268F9" wp14:editId="64C3B083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790400" cy="10933200"/>
          <wp:effectExtent l="0" t="0" r="0" b="1905"/>
          <wp:wrapNone/>
          <wp:docPr id="1" name="Picture 1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0400" cy="1093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ScwaP3E" int2:invalidationBookmarkName="" int2:hashCode="QmhfEdqRpVsfXF" int2:id="tUvUIlb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9AE"/>
    <w:multiLevelType w:val="hybridMultilevel"/>
    <w:tmpl w:val="9D009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7E11"/>
    <w:multiLevelType w:val="hybridMultilevel"/>
    <w:tmpl w:val="3D52D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17EC"/>
    <w:multiLevelType w:val="hybridMultilevel"/>
    <w:tmpl w:val="D818B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E33E9"/>
    <w:multiLevelType w:val="hybridMultilevel"/>
    <w:tmpl w:val="1BD05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925011"/>
    <w:multiLevelType w:val="hybridMultilevel"/>
    <w:tmpl w:val="D6922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31948"/>
    <w:multiLevelType w:val="hybridMultilevel"/>
    <w:tmpl w:val="48D4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B033F"/>
    <w:multiLevelType w:val="hybridMultilevel"/>
    <w:tmpl w:val="0A0CBC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679C"/>
    <w:multiLevelType w:val="hybridMultilevel"/>
    <w:tmpl w:val="89308F50"/>
    <w:lvl w:ilvl="0" w:tplc="8DBC10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DA3FEE"/>
    <w:multiLevelType w:val="hybridMultilevel"/>
    <w:tmpl w:val="7B305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97BEA"/>
    <w:multiLevelType w:val="hybridMultilevel"/>
    <w:tmpl w:val="0E82E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937DB"/>
    <w:multiLevelType w:val="hybridMultilevel"/>
    <w:tmpl w:val="2BC21C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3A36C5"/>
    <w:multiLevelType w:val="hybridMultilevel"/>
    <w:tmpl w:val="CD4C9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95219"/>
    <w:multiLevelType w:val="hybridMultilevel"/>
    <w:tmpl w:val="BCF6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12063"/>
    <w:multiLevelType w:val="hybridMultilevel"/>
    <w:tmpl w:val="372AC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E0006"/>
    <w:multiLevelType w:val="hybridMultilevel"/>
    <w:tmpl w:val="10C25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C1EAB"/>
    <w:multiLevelType w:val="hybridMultilevel"/>
    <w:tmpl w:val="8842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61272"/>
    <w:multiLevelType w:val="hybridMultilevel"/>
    <w:tmpl w:val="A6D824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769E6"/>
    <w:multiLevelType w:val="hybridMultilevel"/>
    <w:tmpl w:val="BD38B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980662"/>
    <w:multiLevelType w:val="hybridMultilevel"/>
    <w:tmpl w:val="0DF0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446EA"/>
    <w:multiLevelType w:val="hybridMultilevel"/>
    <w:tmpl w:val="650AC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724593"/>
    <w:multiLevelType w:val="hybridMultilevel"/>
    <w:tmpl w:val="EC02C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E42AC7"/>
    <w:multiLevelType w:val="hybridMultilevel"/>
    <w:tmpl w:val="889C383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298754A"/>
    <w:multiLevelType w:val="hybridMultilevel"/>
    <w:tmpl w:val="5DBEBA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274737">
    <w:abstractNumId w:val="7"/>
  </w:num>
  <w:num w:numId="2" w16cid:durableId="1654410018">
    <w:abstractNumId w:val="4"/>
  </w:num>
  <w:num w:numId="3" w16cid:durableId="1700274075">
    <w:abstractNumId w:val="16"/>
  </w:num>
  <w:num w:numId="4" w16cid:durableId="640426582">
    <w:abstractNumId w:val="22"/>
  </w:num>
  <w:num w:numId="5" w16cid:durableId="1021738653">
    <w:abstractNumId w:val="3"/>
  </w:num>
  <w:num w:numId="6" w16cid:durableId="1939635524">
    <w:abstractNumId w:val="20"/>
  </w:num>
  <w:num w:numId="7" w16cid:durableId="530461157">
    <w:abstractNumId w:val="19"/>
  </w:num>
  <w:num w:numId="8" w16cid:durableId="1177694802">
    <w:abstractNumId w:val="8"/>
  </w:num>
  <w:num w:numId="9" w16cid:durableId="487093197">
    <w:abstractNumId w:val="17"/>
  </w:num>
  <w:num w:numId="10" w16cid:durableId="397754218">
    <w:abstractNumId w:val="2"/>
  </w:num>
  <w:num w:numId="11" w16cid:durableId="1204833111">
    <w:abstractNumId w:val="6"/>
  </w:num>
  <w:num w:numId="12" w16cid:durableId="737092794">
    <w:abstractNumId w:val="9"/>
  </w:num>
  <w:num w:numId="13" w16cid:durableId="1992708579">
    <w:abstractNumId w:val="15"/>
  </w:num>
  <w:num w:numId="14" w16cid:durableId="1623801885">
    <w:abstractNumId w:val="21"/>
  </w:num>
  <w:num w:numId="15" w16cid:durableId="1166820649">
    <w:abstractNumId w:val="0"/>
  </w:num>
  <w:num w:numId="16" w16cid:durableId="1594320136">
    <w:abstractNumId w:val="12"/>
  </w:num>
  <w:num w:numId="17" w16cid:durableId="578253606">
    <w:abstractNumId w:val="18"/>
  </w:num>
  <w:num w:numId="18" w16cid:durableId="1901017171">
    <w:abstractNumId w:val="5"/>
  </w:num>
  <w:num w:numId="19" w16cid:durableId="134105784">
    <w:abstractNumId w:val="14"/>
  </w:num>
  <w:num w:numId="20" w16cid:durableId="1919631103">
    <w:abstractNumId w:val="1"/>
  </w:num>
  <w:num w:numId="21" w16cid:durableId="209197709">
    <w:abstractNumId w:val="13"/>
  </w:num>
  <w:num w:numId="22" w16cid:durableId="1804343728">
    <w:abstractNumId w:val="10"/>
  </w:num>
  <w:num w:numId="23" w16cid:durableId="1613856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E7"/>
    <w:rsid w:val="00001171"/>
    <w:rsid w:val="00003447"/>
    <w:rsid w:val="00003DB0"/>
    <w:rsid w:val="000155B2"/>
    <w:rsid w:val="0002034D"/>
    <w:rsid w:val="00023C2B"/>
    <w:rsid w:val="00034CA7"/>
    <w:rsid w:val="000375F0"/>
    <w:rsid w:val="0004258F"/>
    <w:rsid w:val="00042DFE"/>
    <w:rsid w:val="00044257"/>
    <w:rsid w:val="00046A80"/>
    <w:rsid w:val="0004799B"/>
    <w:rsid w:val="00047A73"/>
    <w:rsid w:val="000524BB"/>
    <w:rsid w:val="00053045"/>
    <w:rsid w:val="00063AB1"/>
    <w:rsid w:val="00066EBB"/>
    <w:rsid w:val="00067679"/>
    <w:rsid w:val="00073CDE"/>
    <w:rsid w:val="000849F2"/>
    <w:rsid w:val="00091420"/>
    <w:rsid w:val="000948F8"/>
    <w:rsid w:val="00094BD6"/>
    <w:rsid w:val="000A52DA"/>
    <w:rsid w:val="000A7BEF"/>
    <w:rsid w:val="000B3FDB"/>
    <w:rsid w:val="000B731F"/>
    <w:rsid w:val="000C31E1"/>
    <w:rsid w:val="000C501B"/>
    <w:rsid w:val="000C714C"/>
    <w:rsid w:val="000C7C52"/>
    <w:rsid w:val="000D5799"/>
    <w:rsid w:val="000D5E43"/>
    <w:rsid w:val="000E0902"/>
    <w:rsid w:val="000E199A"/>
    <w:rsid w:val="000E20F6"/>
    <w:rsid w:val="000E23AB"/>
    <w:rsid w:val="000E37B8"/>
    <w:rsid w:val="000F2A88"/>
    <w:rsid w:val="000F669E"/>
    <w:rsid w:val="00103757"/>
    <w:rsid w:val="001053B2"/>
    <w:rsid w:val="0011167A"/>
    <w:rsid w:val="00111843"/>
    <w:rsid w:val="001124FA"/>
    <w:rsid w:val="0011334F"/>
    <w:rsid w:val="00117907"/>
    <w:rsid w:val="00130219"/>
    <w:rsid w:val="00134414"/>
    <w:rsid w:val="00134D4C"/>
    <w:rsid w:val="00136D36"/>
    <w:rsid w:val="001470DB"/>
    <w:rsid w:val="001513A3"/>
    <w:rsid w:val="00153A66"/>
    <w:rsid w:val="0015407A"/>
    <w:rsid w:val="00154464"/>
    <w:rsid w:val="001603EF"/>
    <w:rsid w:val="00163533"/>
    <w:rsid w:val="00164414"/>
    <w:rsid w:val="00171A8F"/>
    <w:rsid w:val="00172B7B"/>
    <w:rsid w:val="001813A1"/>
    <w:rsid w:val="001820A3"/>
    <w:rsid w:val="00186E09"/>
    <w:rsid w:val="00187296"/>
    <w:rsid w:val="0019191B"/>
    <w:rsid w:val="00195420"/>
    <w:rsid w:val="001967AD"/>
    <w:rsid w:val="001A085F"/>
    <w:rsid w:val="001A4CB7"/>
    <w:rsid w:val="001A5EA2"/>
    <w:rsid w:val="001B053A"/>
    <w:rsid w:val="001B1885"/>
    <w:rsid w:val="001B4849"/>
    <w:rsid w:val="001C0581"/>
    <w:rsid w:val="001C221D"/>
    <w:rsid w:val="001C231E"/>
    <w:rsid w:val="001D09BC"/>
    <w:rsid w:val="001D0B35"/>
    <w:rsid w:val="001D1905"/>
    <w:rsid w:val="001D59E2"/>
    <w:rsid w:val="001E0EA4"/>
    <w:rsid w:val="001E1257"/>
    <w:rsid w:val="001E17AC"/>
    <w:rsid w:val="001E2FC7"/>
    <w:rsid w:val="001E53EF"/>
    <w:rsid w:val="001F1A3C"/>
    <w:rsid w:val="001F5498"/>
    <w:rsid w:val="001F6E7F"/>
    <w:rsid w:val="00201B07"/>
    <w:rsid w:val="00205E02"/>
    <w:rsid w:val="00207A18"/>
    <w:rsid w:val="002104D6"/>
    <w:rsid w:val="00210C97"/>
    <w:rsid w:val="00211773"/>
    <w:rsid w:val="002132AD"/>
    <w:rsid w:val="00213BC3"/>
    <w:rsid w:val="002162E2"/>
    <w:rsid w:val="0021636A"/>
    <w:rsid w:val="002221D2"/>
    <w:rsid w:val="00223013"/>
    <w:rsid w:val="002235CB"/>
    <w:rsid w:val="00230BD8"/>
    <w:rsid w:val="00232AA8"/>
    <w:rsid w:val="00233B69"/>
    <w:rsid w:val="00235B70"/>
    <w:rsid w:val="00240BF9"/>
    <w:rsid w:val="002452F7"/>
    <w:rsid w:val="00246041"/>
    <w:rsid w:val="00247621"/>
    <w:rsid w:val="002572E6"/>
    <w:rsid w:val="00263753"/>
    <w:rsid w:val="002639EA"/>
    <w:rsid w:val="0026659C"/>
    <w:rsid w:val="002678D4"/>
    <w:rsid w:val="00270D96"/>
    <w:rsid w:val="00272194"/>
    <w:rsid w:val="00274192"/>
    <w:rsid w:val="002754D2"/>
    <w:rsid w:val="00284859"/>
    <w:rsid w:val="0028623B"/>
    <w:rsid w:val="0029132F"/>
    <w:rsid w:val="002922AE"/>
    <w:rsid w:val="002950EC"/>
    <w:rsid w:val="0029770F"/>
    <w:rsid w:val="002A304B"/>
    <w:rsid w:val="002A3F73"/>
    <w:rsid w:val="002A71D0"/>
    <w:rsid w:val="002A75EE"/>
    <w:rsid w:val="002B5684"/>
    <w:rsid w:val="002C12AA"/>
    <w:rsid w:val="002C496C"/>
    <w:rsid w:val="002C7032"/>
    <w:rsid w:val="002C7F62"/>
    <w:rsid w:val="002E31B1"/>
    <w:rsid w:val="002E38E3"/>
    <w:rsid w:val="002E656F"/>
    <w:rsid w:val="002F2BAB"/>
    <w:rsid w:val="00301817"/>
    <w:rsid w:val="00302D46"/>
    <w:rsid w:val="00304E1F"/>
    <w:rsid w:val="00305D9B"/>
    <w:rsid w:val="00306B1B"/>
    <w:rsid w:val="00307A19"/>
    <w:rsid w:val="00311188"/>
    <w:rsid w:val="003153CE"/>
    <w:rsid w:val="00324BD6"/>
    <w:rsid w:val="003262BE"/>
    <w:rsid w:val="00326C1D"/>
    <w:rsid w:val="00335ED4"/>
    <w:rsid w:val="003378EE"/>
    <w:rsid w:val="00340A0A"/>
    <w:rsid w:val="00343B76"/>
    <w:rsid w:val="00344ECB"/>
    <w:rsid w:val="003474C3"/>
    <w:rsid w:val="00353B4A"/>
    <w:rsid w:val="0035543A"/>
    <w:rsid w:val="00356AB3"/>
    <w:rsid w:val="00357A5D"/>
    <w:rsid w:val="00363943"/>
    <w:rsid w:val="003822B3"/>
    <w:rsid w:val="0038262E"/>
    <w:rsid w:val="0039279D"/>
    <w:rsid w:val="00396704"/>
    <w:rsid w:val="003A073A"/>
    <w:rsid w:val="003A1088"/>
    <w:rsid w:val="003A469F"/>
    <w:rsid w:val="003A5943"/>
    <w:rsid w:val="003A5C90"/>
    <w:rsid w:val="003A5CB9"/>
    <w:rsid w:val="003B5795"/>
    <w:rsid w:val="003B639B"/>
    <w:rsid w:val="003B6D60"/>
    <w:rsid w:val="003C12ED"/>
    <w:rsid w:val="003C58AD"/>
    <w:rsid w:val="003C6209"/>
    <w:rsid w:val="003C7886"/>
    <w:rsid w:val="003C79C9"/>
    <w:rsid w:val="003C7D90"/>
    <w:rsid w:val="003D0177"/>
    <w:rsid w:val="003D18D0"/>
    <w:rsid w:val="003D446A"/>
    <w:rsid w:val="003D6A20"/>
    <w:rsid w:val="003D7A93"/>
    <w:rsid w:val="003E0888"/>
    <w:rsid w:val="003E6D6D"/>
    <w:rsid w:val="003F0A7D"/>
    <w:rsid w:val="003F1FC2"/>
    <w:rsid w:val="003F2DCB"/>
    <w:rsid w:val="003F4276"/>
    <w:rsid w:val="003F45A3"/>
    <w:rsid w:val="003F5299"/>
    <w:rsid w:val="003F5798"/>
    <w:rsid w:val="0040272E"/>
    <w:rsid w:val="00403D2E"/>
    <w:rsid w:val="00415A37"/>
    <w:rsid w:val="00415B2A"/>
    <w:rsid w:val="00423147"/>
    <w:rsid w:val="00423FD4"/>
    <w:rsid w:val="00424ED7"/>
    <w:rsid w:val="00425E8B"/>
    <w:rsid w:val="00425ED5"/>
    <w:rsid w:val="004276EA"/>
    <w:rsid w:val="00427FF2"/>
    <w:rsid w:val="00431433"/>
    <w:rsid w:val="004424A6"/>
    <w:rsid w:val="00445DDC"/>
    <w:rsid w:val="0045257D"/>
    <w:rsid w:val="00453C9C"/>
    <w:rsid w:val="004540D6"/>
    <w:rsid w:val="0046577F"/>
    <w:rsid w:val="00465DC7"/>
    <w:rsid w:val="00471C5A"/>
    <w:rsid w:val="00476867"/>
    <w:rsid w:val="00476E0F"/>
    <w:rsid w:val="00483254"/>
    <w:rsid w:val="00484C3A"/>
    <w:rsid w:val="00486844"/>
    <w:rsid w:val="00487284"/>
    <w:rsid w:val="00492D56"/>
    <w:rsid w:val="0049323A"/>
    <w:rsid w:val="004936F0"/>
    <w:rsid w:val="004955D5"/>
    <w:rsid w:val="00496955"/>
    <w:rsid w:val="004A0F00"/>
    <w:rsid w:val="004A10D5"/>
    <w:rsid w:val="004A2A1A"/>
    <w:rsid w:val="004A6ABF"/>
    <w:rsid w:val="004B2810"/>
    <w:rsid w:val="004B4FCA"/>
    <w:rsid w:val="004B7701"/>
    <w:rsid w:val="004C1408"/>
    <w:rsid w:val="004C3FC0"/>
    <w:rsid w:val="004C4972"/>
    <w:rsid w:val="004C52C9"/>
    <w:rsid w:val="004D0C8C"/>
    <w:rsid w:val="004E133C"/>
    <w:rsid w:val="004E4CC2"/>
    <w:rsid w:val="004E59B5"/>
    <w:rsid w:val="004E5DB7"/>
    <w:rsid w:val="004E5F70"/>
    <w:rsid w:val="004E74F8"/>
    <w:rsid w:val="004F2125"/>
    <w:rsid w:val="004F6058"/>
    <w:rsid w:val="004F7D19"/>
    <w:rsid w:val="00503523"/>
    <w:rsid w:val="0050501C"/>
    <w:rsid w:val="005051EF"/>
    <w:rsid w:val="00505F0D"/>
    <w:rsid w:val="00506046"/>
    <w:rsid w:val="00513996"/>
    <w:rsid w:val="005150FB"/>
    <w:rsid w:val="00521E87"/>
    <w:rsid w:val="00522B18"/>
    <w:rsid w:val="00525823"/>
    <w:rsid w:val="00532236"/>
    <w:rsid w:val="00532F54"/>
    <w:rsid w:val="00536119"/>
    <w:rsid w:val="005408D9"/>
    <w:rsid w:val="00543698"/>
    <w:rsid w:val="00545A4C"/>
    <w:rsid w:val="0054711A"/>
    <w:rsid w:val="00552745"/>
    <w:rsid w:val="0056058D"/>
    <w:rsid w:val="00563320"/>
    <w:rsid w:val="005645B2"/>
    <w:rsid w:val="005646BD"/>
    <w:rsid w:val="00567CAC"/>
    <w:rsid w:val="00573AC2"/>
    <w:rsid w:val="0057533D"/>
    <w:rsid w:val="00580E18"/>
    <w:rsid w:val="00582B0F"/>
    <w:rsid w:val="005863CC"/>
    <w:rsid w:val="0059051D"/>
    <w:rsid w:val="0059152E"/>
    <w:rsid w:val="0059194A"/>
    <w:rsid w:val="00594ABA"/>
    <w:rsid w:val="005A196C"/>
    <w:rsid w:val="005A54BE"/>
    <w:rsid w:val="005C009D"/>
    <w:rsid w:val="005C44E7"/>
    <w:rsid w:val="005C65D0"/>
    <w:rsid w:val="005D4BBF"/>
    <w:rsid w:val="005D6C92"/>
    <w:rsid w:val="005D73A1"/>
    <w:rsid w:val="005D76A0"/>
    <w:rsid w:val="005E03D5"/>
    <w:rsid w:val="005E1A99"/>
    <w:rsid w:val="005E259C"/>
    <w:rsid w:val="005E3D44"/>
    <w:rsid w:val="005E5542"/>
    <w:rsid w:val="00604FA2"/>
    <w:rsid w:val="00613E59"/>
    <w:rsid w:val="0062298E"/>
    <w:rsid w:val="00625CC8"/>
    <w:rsid w:val="00626C8C"/>
    <w:rsid w:val="006354E6"/>
    <w:rsid w:val="00652764"/>
    <w:rsid w:val="00652B43"/>
    <w:rsid w:val="006645C3"/>
    <w:rsid w:val="006661D5"/>
    <w:rsid w:val="00670B6E"/>
    <w:rsid w:val="00672507"/>
    <w:rsid w:val="00673C5F"/>
    <w:rsid w:val="00676933"/>
    <w:rsid w:val="00682366"/>
    <w:rsid w:val="006920A1"/>
    <w:rsid w:val="00692BED"/>
    <w:rsid w:val="00695C53"/>
    <w:rsid w:val="00697D85"/>
    <w:rsid w:val="006A1EF7"/>
    <w:rsid w:val="006B5187"/>
    <w:rsid w:val="006C5A8C"/>
    <w:rsid w:val="006D7941"/>
    <w:rsid w:val="006E6EE1"/>
    <w:rsid w:val="006E76EE"/>
    <w:rsid w:val="006F404E"/>
    <w:rsid w:val="006F751B"/>
    <w:rsid w:val="007003C0"/>
    <w:rsid w:val="0070383A"/>
    <w:rsid w:val="00705418"/>
    <w:rsid w:val="00705722"/>
    <w:rsid w:val="007069EE"/>
    <w:rsid w:val="0070777C"/>
    <w:rsid w:val="00711B95"/>
    <w:rsid w:val="00721385"/>
    <w:rsid w:val="0073198F"/>
    <w:rsid w:val="007320A5"/>
    <w:rsid w:val="00732ED4"/>
    <w:rsid w:val="00735F16"/>
    <w:rsid w:val="00736837"/>
    <w:rsid w:val="00754010"/>
    <w:rsid w:val="00760E64"/>
    <w:rsid w:val="00764696"/>
    <w:rsid w:val="00765EEB"/>
    <w:rsid w:val="007712A0"/>
    <w:rsid w:val="007760DD"/>
    <w:rsid w:val="00776B1F"/>
    <w:rsid w:val="00777C96"/>
    <w:rsid w:val="0078384C"/>
    <w:rsid w:val="007907A8"/>
    <w:rsid w:val="00790A7F"/>
    <w:rsid w:val="007A20AE"/>
    <w:rsid w:val="007A214E"/>
    <w:rsid w:val="007A5AC1"/>
    <w:rsid w:val="007A74B1"/>
    <w:rsid w:val="007B23FE"/>
    <w:rsid w:val="007B286E"/>
    <w:rsid w:val="007B2F6C"/>
    <w:rsid w:val="007B3289"/>
    <w:rsid w:val="007C6C89"/>
    <w:rsid w:val="007D10D5"/>
    <w:rsid w:val="007D21B9"/>
    <w:rsid w:val="007D4D24"/>
    <w:rsid w:val="007D5008"/>
    <w:rsid w:val="007E1339"/>
    <w:rsid w:val="007E153A"/>
    <w:rsid w:val="007E18D6"/>
    <w:rsid w:val="007E1F10"/>
    <w:rsid w:val="007E2D94"/>
    <w:rsid w:val="007E4A81"/>
    <w:rsid w:val="007F1FA9"/>
    <w:rsid w:val="007F2C1B"/>
    <w:rsid w:val="007F3EBE"/>
    <w:rsid w:val="007F559E"/>
    <w:rsid w:val="007F5C0F"/>
    <w:rsid w:val="00801A60"/>
    <w:rsid w:val="00801A97"/>
    <w:rsid w:val="008041F1"/>
    <w:rsid w:val="00810783"/>
    <w:rsid w:val="008200CE"/>
    <w:rsid w:val="0082747A"/>
    <w:rsid w:val="00827FE8"/>
    <w:rsid w:val="00833358"/>
    <w:rsid w:val="00833A98"/>
    <w:rsid w:val="00836647"/>
    <w:rsid w:val="00843DBB"/>
    <w:rsid w:val="00846BE2"/>
    <w:rsid w:val="00855E47"/>
    <w:rsid w:val="00864CFA"/>
    <w:rsid w:val="0086526B"/>
    <w:rsid w:val="00871FB4"/>
    <w:rsid w:val="008775A6"/>
    <w:rsid w:val="00884948"/>
    <w:rsid w:val="008A4118"/>
    <w:rsid w:val="008B1386"/>
    <w:rsid w:val="008B1AF6"/>
    <w:rsid w:val="008B3195"/>
    <w:rsid w:val="008C025A"/>
    <w:rsid w:val="008C1A7F"/>
    <w:rsid w:val="008C7A27"/>
    <w:rsid w:val="008D528A"/>
    <w:rsid w:val="008D6E77"/>
    <w:rsid w:val="008D787C"/>
    <w:rsid w:val="008E1133"/>
    <w:rsid w:val="008E2B74"/>
    <w:rsid w:val="008E2DF3"/>
    <w:rsid w:val="008E57AD"/>
    <w:rsid w:val="008F0216"/>
    <w:rsid w:val="008F4819"/>
    <w:rsid w:val="008F7326"/>
    <w:rsid w:val="009118CE"/>
    <w:rsid w:val="009164E5"/>
    <w:rsid w:val="00922CFD"/>
    <w:rsid w:val="00932F8A"/>
    <w:rsid w:val="00935A5B"/>
    <w:rsid w:val="00937FB8"/>
    <w:rsid w:val="009428DF"/>
    <w:rsid w:val="0094384E"/>
    <w:rsid w:val="00943D4F"/>
    <w:rsid w:val="009440FA"/>
    <w:rsid w:val="0094577A"/>
    <w:rsid w:val="0095237E"/>
    <w:rsid w:val="00961082"/>
    <w:rsid w:val="0097009F"/>
    <w:rsid w:val="00975FB4"/>
    <w:rsid w:val="00981E27"/>
    <w:rsid w:val="00983D04"/>
    <w:rsid w:val="0098470D"/>
    <w:rsid w:val="0098591B"/>
    <w:rsid w:val="00991814"/>
    <w:rsid w:val="00993D6D"/>
    <w:rsid w:val="009A185F"/>
    <w:rsid w:val="009A1AAA"/>
    <w:rsid w:val="009A393F"/>
    <w:rsid w:val="009A612A"/>
    <w:rsid w:val="009B00BD"/>
    <w:rsid w:val="009B7403"/>
    <w:rsid w:val="009C26F1"/>
    <w:rsid w:val="009C49D5"/>
    <w:rsid w:val="009C4C93"/>
    <w:rsid w:val="009C5A1D"/>
    <w:rsid w:val="009D01C9"/>
    <w:rsid w:val="009D494E"/>
    <w:rsid w:val="009E0B90"/>
    <w:rsid w:val="009E360B"/>
    <w:rsid w:val="009E3685"/>
    <w:rsid w:val="009E40DF"/>
    <w:rsid w:val="009E6FE0"/>
    <w:rsid w:val="009E744A"/>
    <w:rsid w:val="009F7817"/>
    <w:rsid w:val="00A00B4A"/>
    <w:rsid w:val="00A03BA8"/>
    <w:rsid w:val="00A061FA"/>
    <w:rsid w:val="00A06970"/>
    <w:rsid w:val="00A06AD5"/>
    <w:rsid w:val="00A145FF"/>
    <w:rsid w:val="00A15472"/>
    <w:rsid w:val="00A17266"/>
    <w:rsid w:val="00A17F24"/>
    <w:rsid w:val="00A21636"/>
    <w:rsid w:val="00A21852"/>
    <w:rsid w:val="00A25386"/>
    <w:rsid w:val="00A25B35"/>
    <w:rsid w:val="00A27428"/>
    <w:rsid w:val="00A308B8"/>
    <w:rsid w:val="00A41983"/>
    <w:rsid w:val="00A43622"/>
    <w:rsid w:val="00A47786"/>
    <w:rsid w:val="00A50D64"/>
    <w:rsid w:val="00A514B9"/>
    <w:rsid w:val="00A5558D"/>
    <w:rsid w:val="00A5748B"/>
    <w:rsid w:val="00A61F96"/>
    <w:rsid w:val="00A62D6C"/>
    <w:rsid w:val="00A63639"/>
    <w:rsid w:val="00A71B70"/>
    <w:rsid w:val="00A75A93"/>
    <w:rsid w:val="00A815EF"/>
    <w:rsid w:val="00A824DE"/>
    <w:rsid w:val="00A84014"/>
    <w:rsid w:val="00A8610C"/>
    <w:rsid w:val="00AA1E72"/>
    <w:rsid w:val="00AA5537"/>
    <w:rsid w:val="00AA784A"/>
    <w:rsid w:val="00AB19C5"/>
    <w:rsid w:val="00AB408C"/>
    <w:rsid w:val="00AB45B4"/>
    <w:rsid w:val="00AB7943"/>
    <w:rsid w:val="00AD164B"/>
    <w:rsid w:val="00AE22AA"/>
    <w:rsid w:val="00AE4484"/>
    <w:rsid w:val="00AE4FB3"/>
    <w:rsid w:val="00AE736F"/>
    <w:rsid w:val="00AF5D07"/>
    <w:rsid w:val="00B13530"/>
    <w:rsid w:val="00B158A0"/>
    <w:rsid w:val="00B265C0"/>
    <w:rsid w:val="00B27590"/>
    <w:rsid w:val="00B32E23"/>
    <w:rsid w:val="00B370BD"/>
    <w:rsid w:val="00B44B7D"/>
    <w:rsid w:val="00B54FB0"/>
    <w:rsid w:val="00B61F87"/>
    <w:rsid w:val="00B63189"/>
    <w:rsid w:val="00B722DC"/>
    <w:rsid w:val="00B72D77"/>
    <w:rsid w:val="00B8401C"/>
    <w:rsid w:val="00B84988"/>
    <w:rsid w:val="00B9617F"/>
    <w:rsid w:val="00B976DC"/>
    <w:rsid w:val="00BA484B"/>
    <w:rsid w:val="00BB213F"/>
    <w:rsid w:val="00BC613D"/>
    <w:rsid w:val="00BC7DA0"/>
    <w:rsid w:val="00BD02DC"/>
    <w:rsid w:val="00BD072A"/>
    <w:rsid w:val="00BD3496"/>
    <w:rsid w:val="00BD3B64"/>
    <w:rsid w:val="00BD4596"/>
    <w:rsid w:val="00BD55A0"/>
    <w:rsid w:val="00BF152B"/>
    <w:rsid w:val="00BF6CAB"/>
    <w:rsid w:val="00BF7BB5"/>
    <w:rsid w:val="00C039D0"/>
    <w:rsid w:val="00C0423D"/>
    <w:rsid w:val="00C0761A"/>
    <w:rsid w:val="00C14EA9"/>
    <w:rsid w:val="00C204A3"/>
    <w:rsid w:val="00C20D26"/>
    <w:rsid w:val="00C22CCD"/>
    <w:rsid w:val="00C25B2D"/>
    <w:rsid w:val="00C34CFA"/>
    <w:rsid w:val="00C44929"/>
    <w:rsid w:val="00C47CED"/>
    <w:rsid w:val="00C50B09"/>
    <w:rsid w:val="00C51C46"/>
    <w:rsid w:val="00C5280C"/>
    <w:rsid w:val="00C55BDB"/>
    <w:rsid w:val="00C64DB6"/>
    <w:rsid w:val="00C65DB0"/>
    <w:rsid w:val="00C66134"/>
    <w:rsid w:val="00C7132C"/>
    <w:rsid w:val="00C71FE9"/>
    <w:rsid w:val="00C72C35"/>
    <w:rsid w:val="00C738D5"/>
    <w:rsid w:val="00C75980"/>
    <w:rsid w:val="00C801FF"/>
    <w:rsid w:val="00C8194F"/>
    <w:rsid w:val="00C8375A"/>
    <w:rsid w:val="00C838E9"/>
    <w:rsid w:val="00C92106"/>
    <w:rsid w:val="00C9347C"/>
    <w:rsid w:val="00C9454B"/>
    <w:rsid w:val="00CA4FD9"/>
    <w:rsid w:val="00CA6934"/>
    <w:rsid w:val="00CA6EC1"/>
    <w:rsid w:val="00CA7E2A"/>
    <w:rsid w:val="00CB7C91"/>
    <w:rsid w:val="00CC23C8"/>
    <w:rsid w:val="00CC63A8"/>
    <w:rsid w:val="00CC7459"/>
    <w:rsid w:val="00CD2A93"/>
    <w:rsid w:val="00CD30A9"/>
    <w:rsid w:val="00CD4293"/>
    <w:rsid w:val="00CE0B83"/>
    <w:rsid w:val="00CE66CF"/>
    <w:rsid w:val="00CF4671"/>
    <w:rsid w:val="00CF677F"/>
    <w:rsid w:val="00D012EC"/>
    <w:rsid w:val="00D03823"/>
    <w:rsid w:val="00D15C52"/>
    <w:rsid w:val="00D20000"/>
    <w:rsid w:val="00D235A0"/>
    <w:rsid w:val="00D264D4"/>
    <w:rsid w:val="00D308E2"/>
    <w:rsid w:val="00D31A3B"/>
    <w:rsid w:val="00D40B1D"/>
    <w:rsid w:val="00D43AE1"/>
    <w:rsid w:val="00D468E2"/>
    <w:rsid w:val="00D53B31"/>
    <w:rsid w:val="00D54896"/>
    <w:rsid w:val="00D553CB"/>
    <w:rsid w:val="00D5744C"/>
    <w:rsid w:val="00D576CC"/>
    <w:rsid w:val="00D711F8"/>
    <w:rsid w:val="00D8096E"/>
    <w:rsid w:val="00D8335F"/>
    <w:rsid w:val="00D83F66"/>
    <w:rsid w:val="00D84F2A"/>
    <w:rsid w:val="00D854BA"/>
    <w:rsid w:val="00D87A08"/>
    <w:rsid w:val="00D91598"/>
    <w:rsid w:val="00D964B6"/>
    <w:rsid w:val="00DA3A3B"/>
    <w:rsid w:val="00DA3B82"/>
    <w:rsid w:val="00DA7C05"/>
    <w:rsid w:val="00DB1567"/>
    <w:rsid w:val="00DB25D1"/>
    <w:rsid w:val="00DB38E2"/>
    <w:rsid w:val="00DB530E"/>
    <w:rsid w:val="00DC53BB"/>
    <w:rsid w:val="00DC54EC"/>
    <w:rsid w:val="00DD1B68"/>
    <w:rsid w:val="00DD34E4"/>
    <w:rsid w:val="00DD4343"/>
    <w:rsid w:val="00DD4CFD"/>
    <w:rsid w:val="00DD6B56"/>
    <w:rsid w:val="00DD7509"/>
    <w:rsid w:val="00DF5B63"/>
    <w:rsid w:val="00E01FF1"/>
    <w:rsid w:val="00E030BB"/>
    <w:rsid w:val="00E0585A"/>
    <w:rsid w:val="00E06F37"/>
    <w:rsid w:val="00E1559D"/>
    <w:rsid w:val="00E15F1C"/>
    <w:rsid w:val="00E167C4"/>
    <w:rsid w:val="00E20029"/>
    <w:rsid w:val="00E20272"/>
    <w:rsid w:val="00E20A8B"/>
    <w:rsid w:val="00E20B2F"/>
    <w:rsid w:val="00E21391"/>
    <w:rsid w:val="00E22343"/>
    <w:rsid w:val="00E26D8B"/>
    <w:rsid w:val="00E27CEB"/>
    <w:rsid w:val="00E3004A"/>
    <w:rsid w:val="00E30F06"/>
    <w:rsid w:val="00E313D7"/>
    <w:rsid w:val="00E3225C"/>
    <w:rsid w:val="00E323D7"/>
    <w:rsid w:val="00E34718"/>
    <w:rsid w:val="00E3685A"/>
    <w:rsid w:val="00E40C96"/>
    <w:rsid w:val="00E50FF7"/>
    <w:rsid w:val="00E51BDF"/>
    <w:rsid w:val="00E54C0D"/>
    <w:rsid w:val="00E64FDB"/>
    <w:rsid w:val="00E66D6A"/>
    <w:rsid w:val="00E73756"/>
    <w:rsid w:val="00E74212"/>
    <w:rsid w:val="00E758C2"/>
    <w:rsid w:val="00E776F9"/>
    <w:rsid w:val="00E80E15"/>
    <w:rsid w:val="00E83BA9"/>
    <w:rsid w:val="00E83E3E"/>
    <w:rsid w:val="00E84FA7"/>
    <w:rsid w:val="00E90155"/>
    <w:rsid w:val="00E90B48"/>
    <w:rsid w:val="00E91492"/>
    <w:rsid w:val="00E92433"/>
    <w:rsid w:val="00E92D10"/>
    <w:rsid w:val="00E94875"/>
    <w:rsid w:val="00E94947"/>
    <w:rsid w:val="00EA7344"/>
    <w:rsid w:val="00EA75AE"/>
    <w:rsid w:val="00EB7112"/>
    <w:rsid w:val="00EB7B12"/>
    <w:rsid w:val="00EC72D8"/>
    <w:rsid w:val="00ED3F96"/>
    <w:rsid w:val="00ED439F"/>
    <w:rsid w:val="00EE5D2A"/>
    <w:rsid w:val="00EE6422"/>
    <w:rsid w:val="00EE73BB"/>
    <w:rsid w:val="00EF5F1E"/>
    <w:rsid w:val="00F115B1"/>
    <w:rsid w:val="00F14AD5"/>
    <w:rsid w:val="00F2548A"/>
    <w:rsid w:val="00F31593"/>
    <w:rsid w:val="00F3550D"/>
    <w:rsid w:val="00F40068"/>
    <w:rsid w:val="00F41526"/>
    <w:rsid w:val="00F4690A"/>
    <w:rsid w:val="00F50BB1"/>
    <w:rsid w:val="00F5116E"/>
    <w:rsid w:val="00F610CE"/>
    <w:rsid w:val="00F65EA5"/>
    <w:rsid w:val="00F67FC1"/>
    <w:rsid w:val="00F81F63"/>
    <w:rsid w:val="00F824BE"/>
    <w:rsid w:val="00F9259B"/>
    <w:rsid w:val="00F93A0D"/>
    <w:rsid w:val="00F94EC5"/>
    <w:rsid w:val="00FA1754"/>
    <w:rsid w:val="00FA776D"/>
    <w:rsid w:val="00FB1893"/>
    <w:rsid w:val="00FB5E45"/>
    <w:rsid w:val="00FC0EC4"/>
    <w:rsid w:val="00FD17C0"/>
    <w:rsid w:val="00FD31EE"/>
    <w:rsid w:val="00FD3504"/>
    <w:rsid w:val="00FD672B"/>
    <w:rsid w:val="00FE032E"/>
    <w:rsid w:val="00FE2558"/>
    <w:rsid w:val="00FE3262"/>
    <w:rsid w:val="00FE3AD4"/>
    <w:rsid w:val="00FE3C08"/>
    <w:rsid w:val="00FE3DA6"/>
    <w:rsid w:val="00FE6A58"/>
    <w:rsid w:val="00FF35A9"/>
    <w:rsid w:val="00FF3EF9"/>
    <w:rsid w:val="00FF5823"/>
    <w:rsid w:val="134A4565"/>
    <w:rsid w:val="17B6F73A"/>
    <w:rsid w:val="4771E382"/>
    <w:rsid w:val="4AD5B864"/>
    <w:rsid w:val="4B153B5C"/>
    <w:rsid w:val="55EEDC50"/>
    <w:rsid w:val="792AA88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ED161"/>
  <w15:docId w15:val="{A26D203E-331B-4F6D-9EA0-7C141081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0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78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E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18"/>
  </w:style>
  <w:style w:type="paragraph" w:styleId="Footer">
    <w:name w:val="footer"/>
    <w:basedOn w:val="Normal"/>
    <w:link w:val="FooterChar"/>
    <w:uiPriority w:val="99"/>
    <w:unhideWhenUsed/>
    <w:rsid w:val="00580E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E18"/>
  </w:style>
  <w:style w:type="paragraph" w:styleId="BalloonText">
    <w:name w:val="Balloon Text"/>
    <w:basedOn w:val="Normal"/>
    <w:link w:val="BalloonTextChar"/>
    <w:uiPriority w:val="99"/>
    <w:semiHidden/>
    <w:unhideWhenUsed/>
    <w:rsid w:val="00580E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1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F55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5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323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17A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00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322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A71B7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71B70"/>
  </w:style>
  <w:style w:type="character" w:customStyle="1" w:styleId="superscript">
    <w:name w:val="superscript"/>
    <w:basedOn w:val="DefaultParagraphFont"/>
    <w:rsid w:val="00A71B70"/>
  </w:style>
  <w:style w:type="character" w:customStyle="1" w:styleId="eop">
    <w:name w:val="eop"/>
    <w:basedOn w:val="DefaultParagraphFont"/>
    <w:rsid w:val="00A71B70"/>
  </w:style>
  <w:style w:type="paragraph" w:styleId="FootnoteText">
    <w:name w:val="footnote text"/>
    <w:basedOn w:val="Normal"/>
    <w:link w:val="FootnoteTextChar"/>
    <w:uiPriority w:val="99"/>
    <w:semiHidden/>
    <w:unhideWhenUsed/>
    <w:rsid w:val="005E1A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A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1A9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E31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78D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DC5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3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o.org.uk/for-organisations/sme-web-hub/contact-us-sme/" TargetMode="External"/><Relationship Id="rId18" Type="http://schemas.openxmlformats.org/officeDocument/2006/relationships/hyperlink" Target="https://www.gov.uk/government/publications/working-together-to-improve-school-attendance" TargetMode="External"/><Relationship Id="rId26" Type="http://schemas.openxmlformats.org/officeDocument/2006/relationships/hyperlink" Target="https://www.gov.uk/government/publications/participation-of-young-people-education-employment-and-training" TargetMode="External"/><Relationship Id="rId39" Type="http://schemas.microsoft.com/office/2020/10/relationships/intelligence" Target="intelligence2.xml"/><Relationship Id="rId21" Type="http://schemas.openxmlformats.org/officeDocument/2006/relationships/hyperlink" Target="https://www.shropshirelg.net/education-access-service/children-missing-education/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for-organisations/" TargetMode="External"/><Relationship Id="rId17" Type="http://schemas.openxmlformats.org/officeDocument/2006/relationships/hyperlink" Target="https://www.shropshirelg.net/leadership-management-and-administration/school-admissions/in-year-application-process/" TargetMode="External"/><Relationship Id="rId25" Type="http://schemas.openxmlformats.org/officeDocument/2006/relationships/hyperlink" Target="https://www.shropshirelg.net/education-access-service/elective-home-education/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school-admissions-code--2" TargetMode="External"/><Relationship Id="rId20" Type="http://schemas.openxmlformats.org/officeDocument/2006/relationships/hyperlink" Target="https://www.gov.uk/government/publications/children-missing-education" TargetMode="External"/><Relationship Id="rId29" Type="http://schemas.openxmlformats.org/officeDocument/2006/relationships/hyperlink" Target="https://next.shropshire.gov.uk/shropshire-youth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early-years-foundation-stage-framework--2" TargetMode="External"/><Relationship Id="rId24" Type="http://schemas.openxmlformats.org/officeDocument/2006/relationships/hyperlink" Target="https://www.gov.uk/government/publications/elective-home-education" TargetMode="External"/><Relationship Id="rId32" Type="http://schemas.openxmlformats.org/officeDocument/2006/relationships/hyperlink" Target="https://www.shropshirelg.net/safeguarding-and-child-protection/early-years-and-schools-safeguarding-policies-and-guidance/shropshire-transition-in-education-guidance-safeguarding-children-at-educational-transition-points/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legislation.gov.uk/uksi/2006/1751/contents/made" TargetMode="External"/><Relationship Id="rId23" Type="http://schemas.openxmlformats.org/officeDocument/2006/relationships/hyperlink" Target="https://www.shropshirelg.net/education-access-service/exclusion/" TargetMode="External"/><Relationship Id="rId28" Type="http://schemas.openxmlformats.org/officeDocument/2006/relationships/hyperlink" Target="https://westmidlands.procedures.org.uk/local-content/4gjN/escalation-policy-resolution-of-professional-disagreements/?b=Shropshire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gov.uk/government/publications/keeping-children-safe-in-education--2" TargetMode="External"/><Relationship Id="rId19" Type="http://schemas.openxmlformats.org/officeDocument/2006/relationships/hyperlink" Target="https://www.shropshirelg.net/education-access-service/attendance/" TargetMode="External"/><Relationship Id="rId31" Type="http://schemas.openxmlformats.org/officeDocument/2006/relationships/hyperlink" Target="https://www.shropshirelg.net/safeguarding-and-child-protection/early-years-and-schools-safeguarding-policies-and-guidance/shropshire-transition-in-education-guidance-safeguarding-children-at-educational-transition-poi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estmidlands.procedures.org.uk/local-content/2gjN/thresholds-guidance/?b=Shropshire" TargetMode="External"/><Relationship Id="rId22" Type="http://schemas.openxmlformats.org/officeDocument/2006/relationships/hyperlink" Target="https://www.gov.uk/government/publications/school-exclusion" TargetMode="External"/><Relationship Id="rId27" Type="http://schemas.openxmlformats.org/officeDocument/2006/relationships/hyperlink" Target="https://www.shropshirelg.net/leadership-management-and-administration/post-16/" TargetMode="External"/><Relationship Id="rId30" Type="http://schemas.openxmlformats.org/officeDocument/2006/relationships/hyperlink" Target="https://next.shropshire.gov.uk/shropshire-youth/" TargetMode="External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uk/government/publications/dealing-with-issues-relating-to-parental-responsibility/understanding-and-dealing-with-issues-relating-to-parental-responsibility" TargetMode="External"/><Relationship Id="rId7" Type="http://schemas.openxmlformats.org/officeDocument/2006/relationships/hyperlink" Target="https://westmidlands.procedures.org.uk/local-content/xkjN/neglect-tools-and-pathways/?b=Shropshire" TargetMode="External"/><Relationship Id="rId2" Type="http://schemas.openxmlformats.org/officeDocument/2006/relationships/hyperlink" Target="https://www.mentallyhealthyschools.org.uk/factors-that-impact-mental-health/school-based-risk-factors/transitions/" TargetMode="External"/><Relationship Id="rId1" Type="http://schemas.openxmlformats.org/officeDocument/2006/relationships/hyperlink" Target="https://www.gov.uk/government/publications/working-together-to-safeguard-children--2" TargetMode="External"/><Relationship Id="rId6" Type="http://schemas.openxmlformats.org/officeDocument/2006/relationships/hyperlink" Target="https://www.mentallyhealthyschools.org.uk/factors-that-impact-mental-health/school-based-risk-factors/transitions/" TargetMode="External"/><Relationship Id="rId5" Type="http://schemas.openxmlformats.org/officeDocument/2006/relationships/hyperlink" Target="https://www.legislation.gov.uk/uksi/2006/1751/contents/made" TargetMode="External"/><Relationship Id="rId4" Type="http://schemas.openxmlformats.org/officeDocument/2006/relationships/hyperlink" Target="https://westmidlands.procedures.org.uk/local-content/xkjN/neglect-tools-and-pathways/?b=Shropsh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7bbdc-7c45-46d3-9322-786b8d3d81ce">
      <Terms xmlns="http://schemas.microsoft.com/office/infopath/2007/PartnerControls"/>
    </lcf76f155ced4ddcb4097134ff3c332f>
    <TaxCatchAll xmlns="7b37178d-3180-4666-a039-d1fc4f3c29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19" ma:contentTypeDescription="Create a new document." ma:contentTypeScope="" ma:versionID="f93d62e43d68745ebdb3e4bd723f59e8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9c113f4e8b5a85cce11eac469e7f1b8a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A6BB4-F1D6-4401-ABB2-91D0755BF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F06CA-0A82-4E51-86EC-93B96326B496}">
  <ds:schemaRefs>
    <ds:schemaRef ds:uri="http://schemas.microsoft.com/office/2006/metadata/properties"/>
    <ds:schemaRef ds:uri="http://schemas.microsoft.com/office/infopath/2007/PartnerControls"/>
    <ds:schemaRef ds:uri="e557bbdc-7c45-46d3-9322-786b8d3d81ce"/>
    <ds:schemaRef ds:uri="7b37178d-3180-4666-a039-d1fc4f3c29c2"/>
  </ds:schemaRefs>
</ds:datastoreItem>
</file>

<file path=customXml/itemProps3.xml><?xml version="1.0" encoding="utf-8"?>
<ds:datastoreItem xmlns:ds="http://schemas.openxmlformats.org/officeDocument/2006/customXml" ds:itemID="{96591A95-8730-4258-870F-A92FA35EF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2859</Words>
  <Characters>16298</Characters>
  <Application>Microsoft Office Word</Application>
  <DocSecurity>0</DocSecurity>
  <Lines>135</Lines>
  <Paragraphs>38</Paragraphs>
  <ScaleCrop>false</ScaleCrop>
  <Company>Shropshire Council</Company>
  <LinksUpToDate>false</LinksUpToDate>
  <CharactersWithSpaces>19119</CharactersWithSpaces>
  <SharedDoc>false</SharedDoc>
  <HLinks>
    <vt:vector size="204" baseType="variant">
      <vt:variant>
        <vt:i4>6357082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_Introduction_and_scope</vt:lpwstr>
      </vt:variant>
      <vt:variant>
        <vt:i4>1704053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_Enhanced_Transition_1</vt:lpwstr>
      </vt:variant>
      <vt:variant>
        <vt:i4>6946860</vt:i4>
      </vt:variant>
      <vt:variant>
        <vt:i4>75</vt:i4>
      </vt:variant>
      <vt:variant>
        <vt:i4>0</vt:i4>
      </vt:variant>
      <vt:variant>
        <vt:i4>5</vt:i4>
      </vt:variant>
      <vt:variant>
        <vt:lpwstr>https://westmidlands.procedures.org.uk/local-content/4gjN/escalation-policy-resolution-of-professional-disagreements/?b=Shropshire</vt:lpwstr>
      </vt:variant>
      <vt:variant>
        <vt:lpwstr/>
      </vt:variant>
      <vt:variant>
        <vt:i4>2818090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_Enhanced_Transition</vt:lpwstr>
      </vt:variant>
      <vt:variant>
        <vt:i4>3211311</vt:i4>
      </vt:variant>
      <vt:variant>
        <vt:i4>69</vt:i4>
      </vt:variant>
      <vt:variant>
        <vt:i4>0</vt:i4>
      </vt:variant>
      <vt:variant>
        <vt:i4>5</vt:i4>
      </vt:variant>
      <vt:variant>
        <vt:lpwstr>https://www.shropshirelg.net/leadership-management-and-administration/post-16/</vt:lpwstr>
      </vt:variant>
      <vt:variant>
        <vt:lpwstr/>
      </vt:variant>
      <vt:variant>
        <vt:i4>3211367</vt:i4>
      </vt:variant>
      <vt:variant>
        <vt:i4>66</vt:i4>
      </vt:variant>
      <vt:variant>
        <vt:i4>0</vt:i4>
      </vt:variant>
      <vt:variant>
        <vt:i4>5</vt:i4>
      </vt:variant>
      <vt:variant>
        <vt:lpwstr>https://www.gov.uk/government/publications/participation-of-young-people-education-employment-and-training</vt:lpwstr>
      </vt:variant>
      <vt:variant>
        <vt:lpwstr/>
      </vt:variant>
      <vt:variant>
        <vt:i4>2097209</vt:i4>
      </vt:variant>
      <vt:variant>
        <vt:i4>63</vt:i4>
      </vt:variant>
      <vt:variant>
        <vt:i4>0</vt:i4>
      </vt:variant>
      <vt:variant>
        <vt:i4>5</vt:i4>
      </vt:variant>
      <vt:variant>
        <vt:lpwstr>https://www.shropshirelg.net/education-access-service/elective-home-education/</vt:lpwstr>
      </vt:variant>
      <vt:variant>
        <vt:lpwstr/>
      </vt:variant>
      <vt:variant>
        <vt:i4>7078011</vt:i4>
      </vt:variant>
      <vt:variant>
        <vt:i4>60</vt:i4>
      </vt:variant>
      <vt:variant>
        <vt:i4>0</vt:i4>
      </vt:variant>
      <vt:variant>
        <vt:i4>5</vt:i4>
      </vt:variant>
      <vt:variant>
        <vt:lpwstr>https://www.gov.uk/government/publications/elective-home-education</vt:lpwstr>
      </vt:variant>
      <vt:variant>
        <vt:lpwstr/>
      </vt:variant>
      <vt:variant>
        <vt:i4>2031646</vt:i4>
      </vt:variant>
      <vt:variant>
        <vt:i4>57</vt:i4>
      </vt:variant>
      <vt:variant>
        <vt:i4>0</vt:i4>
      </vt:variant>
      <vt:variant>
        <vt:i4>5</vt:i4>
      </vt:variant>
      <vt:variant>
        <vt:lpwstr>https://www.shropshirelg.net/education-access-service/exclusion/</vt:lpwstr>
      </vt:variant>
      <vt:variant>
        <vt:lpwstr/>
      </vt:variant>
      <vt:variant>
        <vt:i4>7209014</vt:i4>
      </vt:variant>
      <vt:variant>
        <vt:i4>54</vt:i4>
      </vt:variant>
      <vt:variant>
        <vt:i4>0</vt:i4>
      </vt:variant>
      <vt:variant>
        <vt:i4>5</vt:i4>
      </vt:variant>
      <vt:variant>
        <vt:lpwstr>https://www.gov.uk/government/publications/school-exclusion</vt:lpwstr>
      </vt:variant>
      <vt:variant>
        <vt:lpwstr/>
      </vt:variant>
      <vt:variant>
        <vt:i4>4587529</vt:i4>
      </vt:variant>
      <vt:variant>
        <vt:i4>51</vt:i4>
      </vt:variant>
      <vt:variant>
        <vt:i4>0</vt:i4>
      </vt:variant>
      <vt:variant>
        <vt:i4>5</vt:i4>
      </vt:variant>
      <vt:variant>
        <vt:lpwstr>https://www.shropshirelg.net/education-access-service/children-missing-education/</vt:lpwstr>
      </vt:variant>
      <vt:variant>
        <vt:lpwstr/>
      </vt:variant>
      <vt:variant>
        <vt:i4>6029404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https://www.gov.uk/government/publications/children-missing-education</vt:lpwstr>
      </vt:variant>
      <vt:variant>
        <vt:lpwstr/>
      </vt:variant>
      <vt:variant>
        <vt:i4>4587539</vt:i4>
      </vt:variant>
      <vt:variant>
        <vt:i4>45</vt:i4>
      </vt:variant>
      <vt:variant>
        <vt:i4>0</vt:i4>
      </vt:variant>
      <vt:variant>
        <vt:i4>5</vt:i4>
      </vt:variant>
      <vt:variant>
        <vt:lpwstr>https://www.shropshirelg.net/education-access-service/attendance/</vt:lpwstr>
      </vt:variant>
      <vt:variant>
        <vt:lpwstr/>
      </vt:variant>
      <vt:variant>
        <vt:i4>4194335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https://www.gov.uk/government/publications/working-together-to-improve-school-attendance</vt:lpwstr>
      </vt:variant>
      <vt:variant>
        <vt:lpwstr/>
      </vt:variant>
      <vt:variant>
        <vt:i4>6029384</vt:i4>
      </vt:variant>
      <vt:variant>
        <vt:i4>39</vt:i4>
      </vt:variant>
      <vt:variant>
        <vt:i4>0</vt:i4>
      </vt:variant>
      <vt:variant>
        <vt:i4>5</vt:i4>
      </vt:variant>
      <vt:variant>
        <vt:lpwstr>https://www.shropshirelg.net/leadership-management-and-administration/school-admissions/in-year-application-process/</vt:lpwstr>
      </vt:variant>
      <vt:variant>
        <vt:lpwstr/>
      </vt:variant>
      <vt:variant>
        <vt:i4>1835102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https://www.gov.uk/government/publications/school-admissions-code--2</vt:lpwstr>
      </vt:variant>
      <vt:variant>
        <vt:lpwstr/>
      </vt:variant>
      <vt:variant>
        <vt:i4>3342438</vt:i4>
      </vt:variant>
      <vt:variant>
        <vt:i4>33</vt:i4>
      </vt:variant>
      <vt:variant>
        <vt:i4>0</vt:i4>
      </vt:variant>
      <vt:variant>
        <vt:i4>5</vt:i4>
      </vt:variant>
      <vt:variant>
        <vt:lpwstr>https://westmidlands.procedures.org.uk/local-content/2gjN/thresholds-guidance/?b=Shropshire</vt:lpwstr>
      </vt:variant>
      <vt:variant>
        <vt:lpwstr/>
      </vt:variant>
      <vt:variant>
        <vt:i4>589831</vt:i4>
      </vt:variant>
      <vt:variant>
        <vt:i4>30</vt:i4>
      </vt:variant>
      <vt:variant>
        <vt:i4>0</vt:i4>
      </vt:variant>
      <vt:variant>
        <vt:i4>5</vt:i4>
      </vt:variant>
      <vt:variant>
        <vt:lpwstr>https://ico.org.uk/for-organisations/sme-web-hub/contact-us-sme/</vt:lpwstr>
      </vt:variant>
      <vt:variant>
        <vt:lpwstr/>
      </vt:variant>
      <vt:variant>
        <vt:i4>131146</vt:i4>
      </vt:variant>
      <vt:variant>
        <vt:i4>27</vt:i4>
      </vt:variant>
      <vt:variant>
        <vt:i4>0</vt:i4>
      </vt:variant>
      <vt:variant>
        <vt:i4>5</vt:i4>
      </vt:variant>
      <vt:variant>
        <vt:lpwstr>https://ico.org.uk/for-organisations/</vt:lpwstr>
      </vt:variant>
      <vt:variant>
        <vt:lpwstr/>
      </vt:variant>
      <vt:variant>
        <vt:i4>4194317</vt:i4>
      </vt:variant>
      <vt:variant>
        <vt:i4>24</vt:i4>
      </vt:variant>
      <vt:variant>
        <vt:i4>0</vt:i4>
      </vt:variant>
      <vt:variant>
        <vt:i4>5</vt:i4>
      </vt:variant>
      <vt:variant>
        <vt:lpwstr>https://www.gov.uk/government/publications/early-years-foundation-stage-framework--2</vt:lpwstr>
      </vt:variant>
      <vt:variant>
        <vt:lpwstr/>
      </vt:variant>
      <vt:variant>
        <vt:i4>5898255</vt:i4>
      </vt:variant>
      <vt:variant>
        <vt:i4>21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  <vt:variant>
        <vt:i4>1704053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_Enhanced_Transition_1</vt:lpwstr>
      </vt:variant>
      <vt:variant>
        <vt:i4>7274518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_Appendix:__Secondary</vt:lpwstr>
      </vt:variant>
      <vt:variant>
        <vt:i4>2818090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_Enhanced_Transition</vt:lpwstr>
      </vt:variant>
      <vt:variant>
        <vt:i4>5439594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_Other_transition_arrangements</vt:lpwstr>
      </vt:variant>
      <vt:variant>
        <vt:i4>6029420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_Child_Protection_Files</vt:lpwstr>
      </vt:variant>
      <vt:variant>
        <vt:i4>2490394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_Safeguarding_children_during</vt:lpwstr>
      </vt:variant>
      <vt:variant>
        <vt:i4>6357082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_Introduction_and_scope</vt:lpwstr>
      </vt:variant>
      <vt:variant>
        <vt:i4>6422629</vt:i4>
      </vt:variant>
      <vt:variant>
        <vt:i4>15</vt:i4>
      </vt:variant>
      <vt:variant>
        <vt:i4>0</vt:i4>
      </vt:variant>
      <vt:variant>
        <vt:i4>5</vt:i4>
      </vt:variant>
      <vt:variant>
        <vt:lpwstr>https://westmidlands.procedures.org.uk/local-content/xkjN/neglect-tools-and-pathways/?b=Shropshire</vt:lpwstr>
      </vt:variant>
      <vt:variant>
        <vt:lpwstr/>
      </vt:variant>
      <vt:variant>
        <vt:i4>7995425</vt:i4>
      </vt:variant>
      <vt:variant>
        <vt:i4>12</vt:i4>
      </vt:variant>
      <vt:variant>
        <vt:i4>0</vt:i4>
      </vt:variant>
      <vt:variant>
        <vt:i4>5</vt:i4>
      </vt:variant>
      <vt:variant>
        <vt:lpwstr>https://www.mentallyhealthyschools.org.uk/factors-that-impact-mental-health/school-based-risk-factors/transitions/</vt:lpwstr>
      </vt:variant>
      <vt:variant>
        <vt:lpwstr/>
      </vt:variant>
      <vt:variant>
        <vt:i4>6422629</vt:i4>
      </vt:variant>
      <vt:variant>
        <vt:i4>9</vt:i4>
      </vt:variant>
      <vt:variant>
        <vt:i4>0</vt:i4>
      </vt:variant>
      <vt:variant>
        <vt:i4>5</vt:i4>
      </vt:variant>
      <vt:variant>
        <vt:lpwstr>https://westmidlands.procedures.org.uk/local-content/xkjN/neglect-tools-and-pathways/?b=Shropshire</vt:lpwstr>
      </vt:variant>
      <vt:variant>
        <vt:lpwstr/>
      </vt:variant>
      <vt:variant>
        <vt:i4>5046302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https://www.gov.uk/government/publications/dealing-with-issues-relating-to-parental-responsibility/understanding-and-dealing-with-issues-relating-to-parental-responsibility</vt:lpwstr>
      </vt:variant>
      <vt:variant>
        <vt:lpwstr/>
      </vt:variant>
      <vt:variant>
        <vt:i4>7995425</vt:i4>
      </vt:variant>
      <vt:variant>
        <vt:i4>3</vt:i4>
      </vt:variant>
      <vt:variant>
        <vt:i4>0</vt:i4>
      </vt:variant>
      <vt:variant>
        <vt:i4>5</vt:i4>
      </vt:variant>
      <vt:variant>
        <vt:lpwstr>https://www.mentallyhealthyschools.org.uk/factors-that-impact-mental-health/school-based-risk-factors/transitions/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https://www.gov.uk/government/publications/working-together-to-safeguard-children--2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Hall-Salter</dc:creator>
  <cp:keywords/>
  <dc:description/>
  <cp:lastModifiedBy>Emma Harding-Safeguarding</cp:lastModifiedBy>
  <cp:revision>8</cp:revision>
  <cp:lastPrinted>2022-04-21T09:11:00Z</cp:lastPrinted>
  <dcterms:created xsi:type="dcterms:W3CDTF">2025-08-18T09:00:00Z</dcterms:created>
  <dcterms:modified xsi:type="dcterms:W3CDTF">2025-08-18T09:30:00Z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